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AD" w:rsidRDefault="009D7314" w:rsidP="00D857AD">
      <w:pPr>
        <w:pStyle w:val="a8"/>
        <w:numPr>
          <w:ilvl w:val="0"/>
          <w:numId w:val="1"/>
        </w:numPr>
        <w:ind w:firstLineChars="0"/>
        <w:rPr>
          <w:rFonts w:hint="eastAsia"/>
        </w:rPr>
      </w:pPr>
      <w:r>
        <w:rPr>
          <w:rFonts w:hint="eastAsia"/>
        </w:rPr>
        <w:t>项目名称</w:t>
      </w:r>
    </w:p>
    <w:p w:rsidR="00B114AA" w:rsidRDefault="009D7314" w:rsidP="00D857AD">
      <w:r>
        <w:rPr>
          <w:rFonts w:hint="eastAsia"/>
        </w:rPr>
        <w:t xml:space="preserve">   </w:t>
      </w:r>
      <w:r w:rsidRPr="00D857AD">
        <w:rPr>
          <w:rFonts w:asciiTheme="minorEastAsia" w:eastAsiaTheme="minorEastAsia" w:hAnsiTheme="minorEastAsia" w:cs="宋体-WinCharSetFFFF-H" w:hint="eastAsia"/>
          <w:kern w:val="0"/>
          <w:szCs w:val="21"/>
        </w:rPr>
        <w:t>平原水库富营养化防治技术</w:t>
      </w:r>
    </w:p>
    <w:p w:rsidR="00B114AA" w:rsidRDefault="009D7314">
      <w:r>
        <w:rPr>
          <w:rFonts w:hint="eastAsia"/>
        </w:rPr>
        <w:t>二、</w:t>
      </w:r>
      <w:r w:rsidR="005534BC">
        <w:rPr>
          <w:rFonts w:hint="eastAsia"/>
        </w:rPr>
        <w:t>申报奖种</w:t>
      </w:r>
    </w:p>
    <w:p w:rsidR="00B114AA" w:rsidRDefault="009D7314">
      <w:pPr>
        <w:ind w:firstLineChars="200" w:firstLine="420"/>
        <w:rPr>
          <w:rFonts w:asciiTheme="minorEastAsia" w:eastAsiaTheme="minorEastAsia" w:hAnsiTheme="minorEastAsia"/>
        </w:rPr>
      </w:pPr>
      <w:r>
        <w:rPr>
          <w:rFonts w:asciiTheme="minorEastAsia" w:eastAsiaTheme="minorEastAsia" w:hAnsiTheme="minorEastAsia" w:cs="宋体-WinCharSetFFFF-H" w:hint="eastAsia"/>
          <w:kern w:val="0"/>
          <w:szCs w:val="21"/>
        </w:rPr>
        <w:t>山东省科技进步奖二等奖。</w:t>
      </w:r>
    </w:p>
    <w:p w:rsidR="00B114AA" w:rsidRDefault="009D7314">
      <w:r>
        <w:rPr>
          <w:rFonts w:hint="eastAsia"/>
        </w:rPr>
        <w:t>三、项目简介</w:t>
      </w:r>
    </w:p>
    <w:p w:rsidR="00B114AA" w:rsidRDefault="009D7314">
      <w:pPr>
        <w:autoSpaceDE w:val="0"/>
        <w:autoSpaceDN w:val="0"/>
        <w:adjustRightInd w:val="0"/>
        <w:ind w:firstLineChars="200" w:firstLine="420"/>
        <w:jc w:val="left"/>
      </w:pPr>
      <w:r>
        <w:rPr>
          <w:rFonts w:hint="eastAsia"/>
        </w:rPr>
        <w:t>随着经济社会快速发展，水资源短缺和水源水质恶化问题日益突出。保障饮用水源的水质安全，直接关系到受水区居民的身心健康和生活质量。近年来，平原水库在解决当地水资源短缺，保障城乡供水安全方面发挥着重要作用，与此同时也存在着水体的营养度指数上升等问题，部分平原水库曾发生了蓝藻暴发事件，影响了供水的可靠性。</w:t>
      </w:r>
    </w:p>
    <w:p w:rsidR="00B114AA" w:rsidRDefault="009D7314">
      <w:pPr>
        <w:autoSpaceDE w:val="0"/>
        <w:autoSpaceDN w:val="0"/>
        <w:adjustRightInd w:val="0"/>
        <w:ind w:firstLineChars="200" w:firstLine="420"/>
        <w:jc w:val="left"/>
      </w:pPr>
      <w:r>
        <w:rPr>
          <w:rFonts w:hint="eastAsia"/>
        </w:rPr>
        <w:t>本项目依托水利部公益性行业科研专项和国家自然科学基金项目资助，以平原水库为研究对象，对平原水库营养盐分布规律、浮游生物种类及多样性、底栖生物、鱼类等进行了较为全面的调查分析，系统地评价了平原水库富营养化状况；从生态法、物理法和化学法等方面进行系统研究，确定了适合平原水库水质特征的富营养化防治技术；建立了平原水库的富营养化预警系统模式和水质预测模型；对引黄济青工程渠首水质变化情况以及调水沿程水质变化进行研究，确定引黄济青调水对水库污染物的贡献，为多季节调水提供依据。</w:t>
      </w:r>
    </w:p>
    <w:p w:rsidR="00B114AA" w:rsidRDefault="009D7314">
      <w:pPr>
        <w:autoSpaceDE w:val="0"/>
        <w:autoSpaceDN w:val="0"/>
        <w:adjustRightInd w:val="0"/>
        <w:ind w:firstLineChars="200" w:firstLine="420"/>
        <w:jc w:val="left"/>
      </w:pPr>
      <w:r>
        <w:rPr>
          <w:rFonts w:hint="eastAsia"/>
        </w:rPr>
        <w:t>本项目取得的成果包括：</w:t>
      </w:r>
    </w:p>
    <w:p w:rsidR="00B114AA" w:rsidRDefault="009D7314">
      <w:pPr>
        <w:autoSpaceDE w:val="0"/>
        <w:autoSpaceDN w:val="0"/>
        <w:adjustRightInd w:val="0"/>
        <w:ind w:firstLineChars="200" w:firstLine="420"/>
        <w:jc w:val="left"/>
      </w:pPr>
      <w:r>
        <w:rPr>
          <w:rFonts w:hint="eastAsia"/>
        </w:rPr>
        <w:t>（</w:t>
      </w:r>
      <w:r>
        <w:t>1</w:t>
      </w:r>
      <w:r>
        <w:rPr>
          <w:rFonts w:hint="eastAsia"/>
        </w:rPr>
        <w:t>）全面系统地分析了不同类型平原水库的水质特征，确定了平原水库存在的主要问题；通过多种评价方法对各水库水体富营养化现状进行评价，为平原水库富营养化防治奠定了坚实基础。</w:t>
      </w:r>
    </w:p>
    <w:p w:rsidR="00B114AA" w:rsidRDefault="009D7314">
      <w:pPr>
        <w:autoSpaceDE w:val="0"/>
        <w:autoSpaceDN w:val="0"/>
        <w:adjustRightInd w:val="0"/>
        <w:ind w:firstLineChars="200" w:firstLine="420"/>
        <w:jc w:val="left"/>
      </w:pPr>
      <w:r>
        <w:rPr>
          <w:rFonts w:hint="eastAsia"/>
        </w:rPr>
        <w:t>（</w:t>
      </w:r>
      <w:r>
        <w:t>2</w:t>
      </w:r>
      <w:r>
        <w:rPr>
          <w:rFonts w:hint="eastAsia"/>
        </w:rPr>
        <w:t>）优化了固相萃取</w:t>
      </w:r>
      <w:r>
        <w:t>-</w:t>
      </w:r>
      <w:r>
        <w:rPr>
          <w:rFonts w:hint="eastAsia"/>
        </w:rPr>
        <w:t>高效液相色谱法定量分析环境中</w:t>
      </w:r>
      <w:r>
        <w:t xml:space="preserve">MC-RR </w:t>
      </w:r>
      <w:r>
        <w:rPr>
          <w:rFonts w:hint="eastAsia"/>
        </w:rPr>
        <w:t>和</w:t>
      </w:r>
      <w:r>
        <w:t xml:space="preserve">MC-LR </w:t>
      </w:r>
      <w:r>
        <w:rPr>
          <w:rFonts w:hint="eastAsia"/>
        </w:rPr>
        <w:t>方法。建立了液相微萃取</w:t>
      </w:r>
      <w:r>
        <w:t>-</w:t>
      </w:r>
      <w:r>
        <w:rPr>
          <w:rFonts w:hint="eastAsia"/>
        </w:rPr>
        <w:t>气相色谱</w:t>
      </w:r>
      <w:r>
        <w:t>-</w:t>
      </w:r>
      <w:r>
        <w:rPr>
          <w:rFonts w:hint="eastAsia"/>
        </w:rPr>
        <w:t>质谱法测定水中致嗅有机物土臭素（</w:t>
      </w:r>
      <w:r>
        <w:t>GSM</w:t>
      </w:r>
      <w:r>
        <w:rPr>
          <w:rFonts w:hint="eastAsia"/>
        </w:rPr>
        <w:t>）和</w:t>
      </w:r>
      <w:r>
        <w:t>2-</w:t>
      </w:r>
      <w:r>
        <w:rPr>
          <w:rFonts w:hint="eastAsia"/>
        </w:rPr>
        <w:t>甲基异冰片（</w:t>
      </w:r>
      <w:r>
        <w:t>MIB</w:t>
      </w:r>
      <w:r>
        <w:rPr>
          <w:rFonts w:hint="eastAsia"/>
        </w:rPr>
        <w:t>）含量方法，并应用于棘洪滩水库微囊藻毒素和致嗅物质含量的检测。</w:t>
      </w:r>
    </w:p>
    <w:p w:rsidR="00B114AA" w:rsidRDefault="009D7314">
      <w:pPr>
        <w:autoSpaceDE w:val="0"/>
        <w:autoSpaceDN w:val="0"/>
        <w:adjustRightInd w:val="0"/>
        <w:ind w:firstLineChars="200" w:firstLine="420"/>
        <w:jc w:val="left"/>
      </w:pPr>
      <w:r>
        <w:rPr>
          <w:rFonts w:hint="eastAsia"/>
        </w:rPr>
        <w:t>（</w:t>
      </w:r>
      <w:r>
        <w:t>3</w:t>
      </w:r>
      <w:r>
        <w:rPr>
          <w:rFonts w:hint="eastAsia"/>
        </w:rPr>
        <w:t>）针对平原水库水质特点，利用生态、物理和化学等多种技术方法，建立了预氧化混凝除藻、滤食性鱼类控制、水生植物净化、前置库混凝除磷等平原水库富营养化防治技术，并取得良好的应用效果。</w:t>
      </w:r>
    </w:p>
    <w:p w:rsidR="00B114AA" w:rsidRDefault="009D7314">
      <w:pPr>
        <w:autoSpaceDE w:val="0"/>
        <w:autoSpaceDN w:val="0"/>
        <w:adjustRightInd w:val="0"/>
        <w:ind w:firstLineChars="200" w:firstLine="420"/>
        <w:jc w:val="left"/>
      </w:pPr>
      <w:r>
        <w:rPr>
          <w:rFonts w:hint="eastAsia"/>
        </w:rPr>
        <w:t>（</w:t>
      </w:r>
      <w:r>
        <w:t>4</w:t>
      </w:r>
      <w:r>
        <w:rPr>
          <w:rFonts w:hint="eastAsia"/>
        </w:rPr>
        <w:t>）以平原水库为研究对象，进行平原水库水文情势与调度运行的水动力学分析，研究平原水库调水期流场与非调水期风生流场的模拟，建立了平原水库富营养化模型（总磷预算模型），为平原水库水质保护和可持续利用提供依据。</w:t>
      </w:r>
    </w:p>
    <w:p w:rsidR="00B114AA" w:rsidRDefault="009D7314">
      <w:pPr>
        <w:autoSpaceDE w:val="0"/>
        <w:autoSpaceDN w:val="0"/>
        <w:adjustRightInd w:val="0"/>
        <w:ind w:firstLineChars="200" w:firstLine="420"/>
        <w:jc w:val="left"/>
      </w:pPr>
      <w:r>
        <w:rPr>
          <w:rFonts w:hint="eastAsia"/>
        </w:rPr>
        <w:t>（</w:t>
      </w:r>
      <w:r>
        <w:t>5</w:t>
      </w:r>
      <w:r>
        <w:rPr>
          <w:rFonts w:hint="eastAsia"/>
        </w:rPr>
        <w:t>）针对平原水库的主要环境问题及成因，开展了平原水库水质监测系统分析与监测点优化布置、水质预测分析及平原水库富营养化预警模式等方面的研究。</w:t>
      </w:r>
    </w:p>
    <w:p w:rsidR="00B114AA" w:rsidRDefault="009D7314">
      <w:pPr>
        <w:autoSpaceDE w:val="0"/>
        <w:autoSpaceDN w:val="0"/>
        <w:adjustRightInd w:val="0"/>
        <w:ind w:firstLineChars="200" w:firstLine="420"/>
        <w:jc w:val="left"/>
      </w:pPr>
      <w:r>
        <w:rPr>
          <w:rFonts w:hint="eastAsia"/>
        </w:rPr>
        <w:t>（</w:t>
      </w:r>
      <w:r>
        <w:t>6</w:t>
      </w:r>
      <w:r>
        <w:rPr>
          <w:rFonts w:hint="eastAsia"/>
        </w:rPr>
        <w:t>）对引黄济青渠首水质月变化以及调水沿程水质变化进行研究，确定引黄济青调水对水库污染物的贡献，为多季节调水提供了依据。</w:t>
      </w:r>
    </w:p>
    <w:p w:rsidR="00B114AA" w:rsidRDefault="009D7314">
      <w:pPr>
        <w:autoSpaceDE w:val="0"/>
        <w:autoSpaceDN w:val="0"/>
        <w:adjustRightInd w:val="0"/>
        <w:ind w:firstLineChars="200" w:firstLine="420"/>
        <w:jc w:val="left"/>
      </w:pPr>
      <w:r>
        <w:rPr>
          <w:rFonts w:hint="eastAsia"/>
        </w:rPr>
        <w:t>（</w:t>
      </w:r>
      <w:r>
        <w:t>7</w:t>
      </w:r>
      <w:r>
        <w:rPr>
          <w:rFonts w:hint="eastAsia"/>
        </w:rPr>
        <w:t>）建立一种黄河泥沙资源化方法，利用细沙作为微生物载体，制备微生物菌剂，实现引黄济青沉砂池泥沙的资源化利用。</w:t>
      </w:r>
    </w:p>
    <w:p w:rsidR="00B114AA" w:rsidRDefault="009D7314">
      <w:pPr>
        <w:autoSpaceDE w:val="0"/>
        <w:autoSpaceDN w:val="0"/>
        <w:adjustRightInd w:val="0"/>
        <w:ind w:firstLineChars="200" w:firstLine="420"/>
        <w:jc w:val="left"/>
      </w:pPr>
      <w:r>
        <w:rPr>
          <w:rFonts w:hint="eastAsia"/>
        </w:rPr>
        <w:t>本项目获得国家授权发明专利</w:t>
      </w:r>
      <w:r>
        <w:t>5</w:t>
      </w:r>
      <w:r>
        <w:rPr>
          <w:rFonts w:hint="eastAsia"/>
        </w:rPr>
        <w:t>项，发表学术论文</w:t>
      </w:r>
      <w:r>
        <w:t>33</w:t>
      </w:r>
      <w:r>
        <w:rPr>
          <w:rFonts w:hint="eastAsia"/>
        </w:rPr>
        <w:t>篇，培养博士研究生</w:t>
      </w:r>
      <w:r>
        <w:t>1</w:t>
      </w:r>
      <w:r>
        <w:rPr>
          <w:rFonts w:hint="eastAsia"/>
        </w:rPr>
        <w:t>名，硕士研究生</w:t>
      </w:r>
      <w:r>
        <w:t>16</w:t>
      </w:r>
      <w:r>
        <w:rPr>
          <w:rFonts w:hint="eastAsia"/>
        </w:rPr>
        <w:t>名。研究成果已应用于青岛棘洪滩水库、东营南郊水库、淄博新城水库等单位，在保障平原水库水质、提高供水安全性等方面取得了较为明显的效果。</w:t>
      </w:r>
    </w:p>
    <w:p w:rsidR="00B114AA" w:rsidRDefault="009D7314">
      <w:pPr>
        <w:autoSpaceDE w:val="0"/>
        <w:autoSpaceDN w:val="0"/>
        <w:adjustRightInd w:val="0"/>
        <w:ind w:firstLineChars="200" w:firstLine="420"/>
        <w:jc w:val="left"/>
      </w:pPr>
      <w:r>
        <w:rPr>
          <w:rFonts w:hint="eastAsia"/>
        </w:rPr>
        <w:t>四、客观评价</w:t>
      </w:r>
    </w:p>
    <w:p w:rsidR="00B114AA" w:rsidRDefault="009D7314">
      <w:pPr>
        <w:autoSpaceDE w:val="0"/>
        <w:autoSpaceDN w:val="0"/>
        <w:adjustRightInd w:val="0"/>
        <w:ind w:firstLineChars="200" w:firstLine="420"/>
        <w:jc w:val="left"/>
      </w:pPr>
      <w:r>
        <w:rPr>
          <w:rFonts w:hint="eastAsia"/>
        </w:rPr>
        <w:t>（一）项目验收意见：</w:t>
      </w:r>
    </w:p>
    <w:p w:rsidR="00B114AA" w:rsidRDefault="009D7314">
      <w:pPr>
        <w:autoSpaceDE w:val="0"/>
        <w:autoSpaceDN w:val="0"/>
        <w:adjustRightInd w:val="0"/>
        <w:ind w:firstLineChars="200" w:firstLine="420"/>
        <w:jc w:val="left"/>
      </w:pPr>
      <w:r>
        <w:t xml:space="preserve">2013 </w:t>
      </w:r>
      <w:r>
        <w:rPr>
          <w:rFonts w:hint="eastAsia"/>
        </w:rPr>
        <w:t>年</w:t>
      </w:r>
      <w:r>
        <w:t xml:space="preserve">9 </w:t>
      </w:r>
      <w:r>
        <w:rPr>
          <w:rFonts w:hint="eastAsia"/>
        </w:rPr>
        <w:t>月</w:t>
      </w:r>
      <w:r>
        <w:t xml:space="preserve">10 </w:t>
      </w:r>
      <w:r>
        <w:rPr>
          <w:rFonts w:hint="eastAsia"/>
        </w:rPr>
        <w:t>日，水利部国际合作与科技司在北京主持召开了水利部公益性行业科研专项项目“平原水库富营养化防治关键技术研究（编号：</w:t>
      </w:r>
      <w:r>
        <w:t>200901063</w:t>
      </w:r>
      <w:r>
        <w:rPr>
          <w:rFonts w:hint="eastAsia"/>
        </w:rPr>
        <w:t>）”验收会，验收专家组形成验收意见认为：</w:t>
      </w:r>
    </w:p>
    <w:p w:rsidR="00B114AA" w:rsidRDefault="009D7314">
      <w:pPr>
        <w:autoSpaceDE w:val="0"/>
        <w:autoSpaceDN w:val="0"/>
        <w:adjustRightInd w:val="0"/>
        <w:ind w:firstLineChars="200" w:firstLine="420"/>
        <w:jc w:val="left"/>
      </w:pPr>
      <w:r>
        <w:t>1</w:t>
      </w:r>
      <w:r>
        <w:rPr>
          <w:rFonts w:hint="eastAsia"/>
        </w:rPr>
        <w:t>、项目组提交的成果报告和技术文件资料齐全，内容详实，符合验收要求。</w:t>
      </w:r>
    </w:p>
    <w:p w:rsidR="00B114AA" w:rsidRDefault="009D7314">
      <w:pPr>
        <w:autoSpaceDE w:val="0"/>
        <w:autoSpaceDN w:val="0"/>
        <w:adjustRightInd w:val="0"/>
        <w:ind w:firstLineChars="200" w:firstLine="420"/>
        <w:jc w:val="left"/>
      </w:pPr>
      <w:r>
        <w:t>2</w:t>
      </w:r>
      <w:r>
        <w:rPr>
          <w:rFonts w:hint="eastAsia"/>
        </w:rPr>
        <w:t>、项目完成任务情况：确定了平原水库富营养化的原因：建立了预氧化混凝除藻、滤</w:t>
      </w:r>
      <w:r>
        <w:rPr>
          <w:rFonts w:hint="eastAsia"/>
        </w:rPr>
        <w:lastRenderedPageBreak/>
        <w:t>食性鱼类控制、水生植物净化、前置库混凝除磷等水库富营养化防治技术；建立了水质富营养化状态及趋势预警模型，构建了平原水库的富营养化预警模式，已全部实现预期目标。</w:t>
      </w:r>
    </w:p>
    <w:p w:rsidR="00B114AA" w:rsidRDefault="009D7314">
      <w:pPr>
        <w:autoSpaceDE w:val="0"/>
        <w:autoSpaceDN w:val="0"/>
        <w:adjustRightInd w:val="0"/>
        <w:ind w:firstLineChars="200" w:firstLine="420"/>
        <w:jc w:val="left"/>
      </w:pPr>
      <w:r>
        <w:t>3</w:t>
      </w:r>
      <w:r>
        <w:rPr>
          <w:rFonts w:hint="eastAsia"/>
        </w:rPr>
        <w:t>、本项目取得的成果有：（</w:t>
      </w:r>
      <w:r>
        <w:t>1</w:t>
      </w:r>
      <w:r>
        <w:rPr>
          <w:rFonts w:hint="eastAsia"/>
        </w:rPr>
        <w:t>）确定了平原水库富营养化的成因，建立了预氧化混凝除藻，滤食性鱼类控制、水生植物净化，前置库混凝除磷等水库富营养化防治技术；（</w:t>
      </w:r>
      <w:r>
        <w:t>2</w:t>
      </w:r>
      <w:r>
        <w:rPr>
          <w:rFonts w:hint="eastAsia"/>
        </w:rPr>
        <w:t>）建立了平原水库水体富营养化风险评价体系；（</w:t>
      </w:r>
      <w:r>
        <w:t>3</w:t>
      </w:r>
      <w:r>
        <w:rPr>
          <w:rFonts w:hint="eastAsia"/>
        </w:rPr>
        <w:t>）对引黄济青渠首水质月变化情况以及调水沿程水质变化进行了全面研究，确定了引黄济青多季节调水对水库污染物的贡献。</w:t>
      </w:r>
    </w:p>
    <w:p w:rsidR="00B114AA" w:rsidRDefault="009D7314">
      <w:pPr>
        <w:autoSpaceDE w:val="0"/>
        <w:autoSpaceDN w:val="0"/>
        <w:adjustRightInd w:val="0"/>
        <w:ind w:firstLineChars="200" w:firstLine="420"/>
        <w:jc w:val="left"/>
      </w:pPr>
      <w:r>
        <w:t>4</w:t>
      </w:r>
      <w:r>
        <w:rPr>
          <w:rFonts w:hint="eastAsia"/>
        </w:rPr>
        <w:t>、项目的应用推广情况：山东省胶东调水局</w:t>
      </w:r>
      <w:r>
        <w:t>2012</w:t>
      </w:r>
      <w:r>
        <w:rPr>
          <w:rFonts w:hint="eastAsia"/>
        </w:rPr>
        <w:t>年度调水已应用了该成果，在平原水库富营养化防治与水质改善方面取得明显效果，在平原水库具有推广应用的价值。</w:t>
      </w:r>
    </w:p>
    <w:p w:rsidR="00B114AA" w:rsidRDefault="009D7314">
      <w:pPr>
        <w:autoSpaceDE w:val="0"/>
        <w:autoSpaceDN w:val="0"/>
        <w:adjustRightInd w:val="0"/>
        <w:ind w:firstLineChars="200" w:firstLine="420"/>
        <w:jc w:val="left"/>
      </w:pPr>
      <w:r>
        <w:rPr>
          <w:rFonts w:hint="eastAsia"/>
        </w:rPr>
        <w:t>综上所述，该项目全面完成任务书规定的工作内容，研究成果丰富，达到了预期目标，同意通过验收（附件【</w:t>
      </w:r>
      <w:r>
        <w:t>17</w:t>
      </w:r>
      <w:r>
        <w:rPr>
          <w:rFonts w:hint="eastAsia"/>
        </w:rPr>
        <w:t>】、【</w:t>
      </w:r>
      <w:r>
        <w:t>18</w:t>
      </w:r>
      <w:r>
        <w:rPr>
          <w:rFonts w:hint="eastAsia"/>
        </w:rPr>
        <w:t>】、【</w:t>
      </w:r>
      <w:r>
        <w:t>21-24</w:t>
      </w:r>
      <w:r>
        <w:rPr>
          <w:rFonts w:hint="eastAsia"/>
        </w:rPr>
        <w:t>】）。</w:t>
      </w:r>
    </w:p>
    <w:p w:rsidR="00B114AA" w:rsidRDefault="009D7314">
      <w:pPr>
        <w:autoSpaceDE w:val="0"/>
        <w:autoSpaceDN w:val="0"/>
        <w:adjustRightInd w:val="0"/>
        <w:ind w:firstLineChars="200" w:firstLine="420"/>
        <w:jc w:val="left"/>
      </w:pPr>
      <w:r>
        <w:rPr>
          <w:rFonts w:hint="eastAsia"/>
        </w:rPr>
        <w:t>（二）中国工程院院士、水处理专家、哈尔滨工业大学李圭白教授认为“该项目通过对多座平原水库营养盐分布、浮游生物种类及多样性、底栖生物、鱼类等进行了较为全面的调查分析，系统地评价了平原水库富营养化状况；提出了预氧化混凝除藻、滤食性鱼类控制、水生植物净化、前置库混凝除磷等水库富营养化放置的关键技术；建立了适用于平原水库特点的富营养化预警系统模式和水质预测模型。项目成果已在青岛棘洪滩水库等单位应用，在平原水库富营养化防治与水质改善方面取得显著效果，在平原水库具有广泛的推广应用价值。同时，该成果的推广应用有利于促进水库及管理部门采用先进的水质控制工艺、技术、材料和设备，有利于促进完善平原水库的水质管理机制和提高管理水平，有利于推动水利与供水行业的技术进步，提高城乡供水的安全可靠性。”（附件【</w:t>
      </w:r>
      <w:r>
        <w:t>19</w:t>
      </w:r>
      <w:r>
        <w:rPr>
          <w:rFonts w:hint="eastAsia"/>
        </w:rPr>
        <w:t>】）</w:t>
      </w:r>
    </w:p>
    <w:p w:rsidR="00B114AA" w:rsidRDefault="009D7314">
      <w:pPr>
        <w:autoSpaceDE w:val="0"/>
        <w:autoSpaceDN w:val="0"/>
        <w:adjustRightInd w:val="0"/>
        <w:ind w:firstLineChars="200" w:firstLine="420"/>
        <w:jc w:val="left"/>
      </w:pPr>
      <w:r>
        <w:rPr>
          <w:rFonts w:hint="eastAsia"/>
        </w:rPr>
        <w:t>（三）中国科学院院士、环境领域专家、厦门大学焦念志教授认为“该项目是迄今为止有关平原水库富营养化问题较为全面的研究，其成果在平原水库具有推广应用的价值。”（附件【</w:t>
      </w:r>
      <w:r>
        <w:t>20</w:t>
      </w:r>
      <w:r>
        <w:rPr>
          <w:rFonts w:hint="eastAsia"/>
        </w:rPr>
        <w:t>】）</w:t>
      </w:r>
    </w:p>
    <w:p w:rsidR="00B114AA" w:rsidRDefault="009D7314">
      <w:pPr>
        <w:autoSpaceDE w:val="0"/>
        <w:autoSpaceDN w:val="0"/>
        <w:adjustRightInd w:val="0"/>
        <w:ind w:firstLineChars="200" w:firstLine="420"/>
        <w:jc w:val="left"/>
      </w:pPr>
      <w:r>
        <w:rPr>
          <w:rFonts w:hint="eastAsia"/>
        </w:rPr>
        <w:t>（四）查新结论：</w:t>
      </w:r>
    </w:p>
    <w:p w:rsidR="00B114AA" w:rsidRDefault="009D7314">
      <w:pPr>
        <w:autoSpaceDE w:val="0"/>
        <w:autoSpaceDN w:val="0"/>
        <w:adjustRightInd w:val="0"/>
        <w:ind w:firstLineChars="200" w:firstLine="420"/>
        <w:jc w:val="left"/>
      </w:pPr>
      <w:r>
        <w:rPr>
          <w:rFonts w:hint="eastAsia"/>
        </w:rPr>
        <w:t>本项目组委托“教育部科技查新工作站（</w:t>
      </w:r>
      <w:r>
        <w:t>L16</w:t>
      </w:r>
      <w:r>
        <w:rPr>
          <w:rFonts w:hint="eastAsia"/>
        </w:rPr>
        <w:t>）”针对（</w:t>
      </w:r>
      <w:r>
        <w:t>1</w:t>
      </w:r>
      <w:r>
        <w:rPr>
          <w:rFonts w:hint="eastAsia"/>
        </w:rPr>
        <w:t>）平原水库水质预测预警、（</w:t>
      </w:r>
      <w:r>
        <w:t>2</w:t>
      </w:r>
      <w:r>
        <w:rPr>
          <w:rFonts w:hint="eastAsia"/>
        </w:rPr>
        <w:t>）平原水库前置库除磷</w:t>
      </w:r>
      <w:r>
        <w:t xml:space="preserve"> (</w:t>
      </w:r>
      <w:r>
        <w:rPr>
          <w:rFonts w:hint="eastAsia"/>
        </w:rPr>
        <w:t>富营养化防治技术）和（</w:t>
      </w:r>
      <w:r>
        <w:t>3</w:t>
      </w:r>
      <w:r>
        <w:rPr>
          <w:rFonts w:hint="eastAsia"/>
        </w:rPr>
        <w:t>）引黄济青工程渠首和调水沿程水质变化</w:t>
      </w:r>
      <w:r>
        <w:t xml:space="preserve">3 </w:t>
      </w:r>
      <w:r>
        <w:rPr>
          <w:rFonts w:hint="eastAsia"/>
        </w:rPr>
        <w:t>个查新点进行文献检索，共检索到相关文献</w:t>
      </w:r>
      <w:r>
        <w:t>20</w:t>
      </w:r>
      <w:r>
        <w:rPr>
          <w:rFonts w:hint="eastAsia"/>
        </w:rPr>
        <w:t>篇，经比较分析认为在检索出的除本课题委托人外的其他国内文献中，未见其他与本课题查新点完全相同的研究报道（附件【</w:t>
      </w:r>
      <w:r>
        <w:t>31-33</w:t>
      </w:r>
      <w:r>
        <w:rPr>
          <w:rFonts w:hint="eastAsia"/>
        </w:rPr>
        <w:t>】）。</w:t>
      </w:r>
    </w:p>
    <w:p w:rsidR="00B114AA" w:rsidRDefault="009D7314">
      <w:r>
        <w:rPr>
          <w:rFonts w:hint="eastAsia"/>
        </w:rPr>
        <w:t>五、推广应用情况</w:t>
      </w:r>
    </w:p>
    <w:tbl>
      <w:tblPr>
        <w:tblStyle w:val="a6"/>
        <w:tblW w:w="8522" w:type="dxa"/>
        <w:tblLayout w:type="fixed"/>
        <w:tblLook w:val="04A0"/>
      </w:tblPr>
      <w:tblGrid>
        <w:gridCol w:w="1704"/>
        <w:gridCol w:w="1704"/>
        <w:gridCol w:w="1704"/>
        <w:gridCol w:w="1705"/>
        <w:gridCol w:w="1705"/>
      </w:tblGrid>
      <w:tr w:rsidR="00B114AA">
        <w:tc>
          <w:tcPr>
            <w:tcW w:w="8522" w:type="dxa"/>
            <w:gridSpan w:val="5"/>
          </w:tcPr>
          <w:p w:rsidR="00B114AA" w:rsidRDefault="009D7314">
            <w:pPr>
              <w:rPr>
                <w:sz w:val="15"/>
                <w:szCs w:val="15"/>
              </w:rPr>
            </w:pPr>
            <w:r>
              <w:rPr>
                <w:rFonts w:ascii="黑体-WinCharSetFFFF-H" w:eastAsia="黑体-WinCharSetFFFF-H" w:hAnsiTheme="minorHAnsi" w:cs="黑体-WinCharSetFFFF-H" w:hint="eastAsia"/>
                <w:kern w:val="0"/>
                <w:sz w:val="15"/>
                <w:szCs w:val="15"/>
              </w:rPr>
              <w:t>推广应用情况</w:t>
            </w:r>
          </w:p>
        </w:tc>
      </w:tr>
      <w:tr w:rsidR="00B114AA">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应用单位名称</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应用技术</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应用起止时间</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应用单位联系人</w:t>
            </w:r>
            <w:r>
              <w:rPr>
                <w:rFonts w:eastAsia="宋体-WinCharSetFFFF-H"/>
                <w:kern w:val="0"/>
                <w:sz w:val="15"/>
                <w:szCs w:val="15"/>
              </w:rPr>
              <w:t>/</w:t>
            </w:r>
            <w:r>
              <w:rPr>
                <w:rFonts w:ascii="宋体-WinCharSetFFFF-H" w:eastAsia="宋体-WinCharSetFFFF-H" w:hAnsiTheme="minorHAnsi" w:cs="宋体-WinCharSetFFFF-H" w:hint="eastAsia"/>
                <w:kern w:val="0"/>
                <w:sz w:val="15"/>
                <w:szCs w:val="15"/>
              </w:rPr>
              <w:t>电话</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经济效益</w:t>
            </w:r>
          </w:p>
        </w:tc>
      </w:tr>
      <w:tr w:rsidR="00B114AA">
        <w:tc>
          <w:tcPr>
            <w:tcW w:w="1704" w:type="dxa"/>
          </w:tcPr>
          <w:p w:rsidR="00B114AA" w:rsidRDefault="009D7314">
            <w:pPr>
              <w:rPr>
                <w:rFonts w:asciiTheme="minorEastAsia" w:eastAsiaTheme="minorEastAsia" w:hAnsiTheme="minorEastAsia" w:cs="宋体-WinCharSetFFFF-H"/>
                <w:kern w:val="0"/>
                <w:sz w:val="15"/>
                <w:szCs w:val="15"/>
              </w:rPr>
            </w:pPr>
            <w:r>
              <w:rPr>
                <w:rFonts w:ascii="宋体-WinCharSetFFFF-H" w:eastAsia="宋体-WinCharSetFFFF-H" w:hAnsiTheme="minorHAnsi" w:cs="宋体-WinCharSetFFFF-H" w:hint="eastAsia"/>
                <w:kern w:val="0"/>
                <w:sz w:val="15"/>
                <w:szCs w:val="15"/>
              </w:rPr>
              <w:t>山东省胶东调水工程棘洪滩水库管理处</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鲢、鳙鱼控制藻类数量实施方案</w:t>
            </w:r>
          </w:p>
        </w:tc>
        <w:tc>
          <w:tcPr>
            <w:tcW w:w="1704"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kern w:val="0"/>
                <w:sz w:val="15"/>
                <w:szCs w:val="15"/>
              </w:rPr>
              <w:t>2010-09</w:t>
            </w:r>
            <w:r>
              <w:rPr>
                <w:rFonts w:ascii="宋体-WinCharSetFFFF-H" w:eastAsia="宋体-WinCharSetFFFF-H" w:hAnsiTheme="minorHAnsi" w:cs="宋体-WinCharSetFFFF-H" w:hint="eastAsia"/>
                <w:kern w:val="0"/>
                <w:sz w:val="15"/>
                <w:szCs w:val="15"/>
              </w:rPr>
              <w:t>～</w:t>
            </w:r>
            <w:r>
              <w:rPr>
                <w:rFonts w:ascii="宋体-WinCharSetFFFF-H" w:eastAsia="宋体-WinCharSetFFFF-H" w:hAnsiTheme="minorHAnsi" w:cs="宋体-WinCharSetFFFF-H"/>
                <w:kern w:val="0"/>
                <w:sz w:val="15"/>
                <w:szCs w:val="15"/>
              </w:rPr>
              <w:t>2012-09</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胡刚强</w:t>
            </w:r>
            <w:r>
              <w:rPr>
                <w:rFonts w:ascii="宋体-WinCharSetFFFF-H" w:eastAsia="宋体-WinCharSetFFFF-H" w:hAnsiTheme="minorHAnsi" w:cs="宋体-WinCharSetFFFF-H"/>
                <w:kern w:val="0"/>
                <w:sz w:val="15"/>
                <w:szCs w:val="15"/>
              </w:rPr>
              <w:t>/15621070600</w:t>
            </w:r>
          </w:p>
        </w:tc>
        <w:tc>
          <w:tcPr>
            <w:tcW w:w="1705" w:type="dxa"/>
          </w:tcPr>
          <w:p w:rsidR="00B114AA" w:rsidRDefault="009D7314">
            <w:pPr>
              <w:rPr>
                <w:sz w:val="15"/>
                <w:szCs w:val="15"/>
              </w:rPr>
            </w:pPr>
            <w:r>
              <w:rPr>
                <w:rFonts w:ascii="宋体-WinCharSetFFFF-H" w:eastAsia="宋体-WinCharSetFFFF-H" w:hAnsiTheme="minorHAnsi" w:cs="宋体-WinCharSetFFFF-H"/>
                <w:kern w:val="0"/>
                <w:sz w:val="15"/>
                <w:szCs w:val="15"/>
              </w:rPr>
              <w:t>0.00</w:t>
            </w:r>
          </w:p>
        </w:tc>
      </w:tr>
      <w:tr w:rsidR="00B114AA">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东营市自来水公司水厂</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鲢、鳙鱼控制藻类数量实施方案</w:t>
            </w:r>
          </w:p>
        </w:tc>
        <w:tc>
          <w:tcPr>
            <w:tcW w:w="1704"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kern w:val="0"/>
                <w:sz w:val="15"/>
                <w:szCs w:val="15"/>
              </w:rPr>
              <w:t>2011-11</w:t>
            </w:r>
            <w:r>
              <w:rPr>
                <w:rFonts w:ascii="宋体-WinCharSetFFFF-H" w:eastAsia="宋体-WinCharSetFFFF-H" w:hAnsiTheme="minorHAnsi" w:cs="宋体-WinCharSetFFFF-H" w:hint="eastAsia"/>
                <w:kern w:val="0"/>
                <w:sz w:val="15"/>
                <w:szCs w:val="15"/>
              </w:rPr>
              <w:t>～</w:t>
            </w:r>
            <w:r>
              <w:rPr>
                <w:rFonts w:ascii="宋体-WinCharSetFFFF-H" w:eastAsia="宋体-WinCharSetFFFF-H" w:hAnsiTheme="minorHAnsi" w:cs="宋体-WinCharSetFFFF-H"/>
                <w:kern w:val="0"/>
                <w:sz w:val="15"/>
                <w:szCs w:val="15"/>
              </w:rPr>
              <w:t>2015-03</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3"/>
                <w:szCs w:val="13"/>
              </w:rPr>
            </w:pPr>
            <w:r>
              <w:rPr>
                <w:rFonts w:ascii="宋体-WinCharSetFFFF-H" w:eastAsia="宋体-WinCharSetFFFF-H" w:hAnsiTheme="minorHAnsi" w:cs="宋体-WinCharSetFFFF-H" w:hint="eastAsia"/>
                <w:kern w:val="0"/>
                <w:sz w:val="13"/>
                <w:szCs w:val="13"/>
              </w:rPr>
              <w:t>徐玲</w:t>
            </w:r>
            <w:r>
              <w:rPr>
                <w:rFonts w:ascii="宋体-WinCharSetFFFF-H" w:eastAsia="宋体-WinCharSetFFFF-H" w:hAnsiTheme="minorHAnsi" w:cs="宋体-WinCharSetFFFF-H"/>
                <w:kern w:val="0"/>
                <w:sz w:val="13"/>
                <w:szCs w:val="13"/>
              </w:rPr>
              <w:t>/13853301765</w:t>
            </w:r>
          </w:p>
        </w:tc>
        <w:tc>
          <w:tcPr>
            <w:tcW w:w="1705" w:type="dxa"/>
          </w:tcPr>
          <w:p w:rsidR="00B114AA" w:rsidRDefault="009D7314">
            <w:r>
              <w:rPr>
                <w:rFonts w:ascii="宋体-WinCharSetFFFF-H" w:eastAsia="宋体-WinCharSetFFFF-H" w:hAnsiTheme="minorHAnsi" w:cs="宋体-WinCharSetFFFF-H"/>
                <w:kern w:val="0"/>
                <w:sz w:val="15"/>
                <w:szCs w:val="15"/>
              </w:rPr>
              <w:t>0.00</w:t>
            </w:r>
          </w:p>
        </w:tc>
      </w:tr>
      <w:tr w:rsidR="00B114AA">
        <w:tc>
          <w:tcPr>
            <w:tcW w:w="1704"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淄博市引黄供水管理局水质检测中心</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生物法治理平原水库富营养化</w:t>
            </w:r>
          </w:p>
        </w:tc>
        <w:tc>
          <w:tcPr>
            <w:tcW w:w="1704"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kern w:val="0"/>
                <w:sz w:val="15"/>
                <w:szCs w:val="15"/>
              </w:rPr>
              <w:t>2011-10</w:t>
            </w:r>
            <w:r>
              <w:rPr>
                <w:rFonts w:ascii="宋体-WinCharSetFFFF-H" w:eastAsia="宋体-WinCharSetFFFF-H" w:hAnsiTheme="minorHAnsi" w:cs="宋体-WinCharSetFFFF-H" w:hint="eastAsia"/>
                <w:kern w:val="0"/>
                <w:sz w:val="15"/>
                <w:szCs w:val="15"/>
              </w:rPr>
              <w:t>～</w:t>
            </w:r>
            <w:r>
              <w:rPr>
                <w:rFonts w:ascii="宋体-WinCharSetFFFF-H" w:eastAsia="宋体-WinCharSetFFFF-H" w:hAnsiTheme="minorHAnsi" w:cs="宋体-WinCharSetFFFF-H"/>
                <w:kern w:val="0"/>
                <w:sz w:val="15"/>
                <w:szCs w:val="15"/>
              </w:rPr>
              <w:t>2015-03</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田希彬</w:t>
            </w:r>
            <w:r>
              <w:rPr>
                <w:rFonts w:ascii="宋体-WinCharSetFFFF-H" w:eastAsia="宋体-WinCharSetFFFF-H" w:hAnsiTheme="minorHAnsi" w:cs="宋体-WinCharSetFFFF-H"/>
                <w:kern w:val="0"/>
                <w:sz w:val="15"/>
                <w:szCs w:val="15"/>
              </w:rPr>
              <w:t>/18005469151</w:t>
            </w:r>
          </w:p>
        </w:tc>
        <w:tc>
          <w:tcPr>
            <w:tcW w:w="1705" w:type="dxa"/>
          </w:tcPr>
          <w:p w:rsidR="00B114AA" w:rsidRDefault="009D7314">
            <w:r>
              <w:rPr>
                <w:rFonts w:ascii="宋体-WinCharSetFFFF-H" w:eastAsia="宋体-WinCharSetFFFF-H" w:hAnsiTheme="minorHAnsi" w:cs="宋体-WinCharSetFFFF-H"/>
                <w:kern w:val="0"/>
                <w:sz w:val="15"/>
                <w:szCs w:val="15"/>
              </w:rPr>
              <w:t>0.00</w:t>
            </w:r>
          </w:p>
        </w:tc>
      </w:tr>
      <w:tr w:rsidR="00B114AA">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山东省胶东调水局</w:t>
            </w:r>
          </w:p>
        </w:tc>
        <w:tc>
          <w:tcPr>
            <w:tcW w:w="1704" w:type="dxa"/>
          </w:tcPr>
          <w:p w:rsidR="00B114AA" w:rsidRDefault="009D7314">
            <w:pPr>
              <w:rPr>
                <w:sz w:val="15"/>
                <w:szCs w:val="15"/>
              </w:rPr>
            </w:pPr>
            <w:r>
              <w:rPr>
                <w:rFonts w:ascii="宋体-WinCharSetFFFF-H" w:eastAsia="宋体-WinCharSetFFFF-H" w:hAnsiTheme="minorHAnsi" w:cs="宋体-WinCharSetFFFF-H" w:hint="eastAsia"/>
                <w:kern w:val="0"/>
                <w:sz w:val="15"/>
                <w:szCs w:val="15"/>
              </w:rPr>
              <w:t>引黄济青调水沿程水质变化及对策</w:t>
            </w:r>
          </w:p>
        </w:tc>
        <w:tc>
          <w:tcPr>
            <w:tcW w:w="1704"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kern w:val="0"/>
                <w:sz w:val="15"/>
                <w:szCs w:val="15"/>
              </w:rPr>
              <w:t>2012-01</w:t>
            </w:r>
            <w:r>
              <w:rPr>
                <w:rFonts w:ascii="宋体-WinCharSetFFFF-H" w:eastAsia="宋体-WinCharSetFFFF-H" w:hAnsiTheme="minorHAnsi" w:cs="宋体-WinCharSetFFFF-H" w:hint="eastAsia"/>
                <w:kern w:val="0"/>
                <w:sz w:val="15"/>
                <w:szCs w:val="15"/>
              </w:rPr>
              <w:t>～</w:t>
            </w:r>
            <w:r>
              <w:rPr>
                <w:rFonts w:ascii="宋体-WinCharSetFFFF-H" w:eastAsia="宋体-WinCharSetFFFF-H" w:hAnsiTheme="minorHAnsi" w:cs="宋体-WinCharSetFFFF-H"/>
                <w:kern w:val="0"/>
                <w:sz w:val="15"/>
                <w:szCs w:val="15"/>
              </w:rPr>
              <w:t>2015-03</w:t>
            </w:r>
          </w:p>
        </w:tc>
        <w:tc>
          <w:tcPr>
            <w:tcW w:w="1705" w:type="dxa"/>
          </w:tcPr>
          <w:p w:rsidR="00B114AA" w:rsidRDefault="009D7314">
            <w:pPr>
              <w:autoSpaceDE w:val="0"/>
              <w:autoSpaceDN w:val="0"/>
              <w:adjustRightInd w:val="0"/>
              <w:jc w:val="left"/>
              <w:rPr>
                <w:rFonts w:ascii="宋体-WinCharSetFFFF-H" w:eastAsia="宋体-WinCharSetFFFF-H" w:hAnsiTheme="minorHAnsi" w:cs="宋体-WinCharSetFFFF-H"/>
                <w:kern w:val="0"/>
                <w:sz w:val="15"/>
                <w:szCs w:val="15"/>
              </w:rPr>
            </w:pPr>
            <w:r>
              <w:rPr>
                <w:rFonts w:ascii="宋体-WinCharSetFFFF-H" w:eastAsia="宋体-WinCharSetFFFF-H" w:hAnsiTheme="minorHAnsi" w:cs="宋体-WinCharSetFFFF-H" w:hint="eastAsia"/>
                <w:kern w:val="0"/>
                <w:sz w:val="15"/>
                <w:szCs w:val="15"/>
              </w:rPr>
              <w:t>郭晓雅</w:t>
            </w:r>
            <w:r>
              <w:rPr>
                <w:rFonts w:ascii="宋体-WinCharSetFFFF-H" w:eastAsia="宋体-WinCharSetFFFF-H" w:hAnsiTheme="minorHAnsi" w:cs="宋体-WinCharSetFFFF-H"/>
                <w:kern w:val="0"/>
                <w:sz w:val="15"/>
                <w:szCs w:val="15"/>
              </w:rPr>
              <w:t>/13964043629</w:t>
            </w:r>
          </w:p>
        </w:tc>
        <w:tc>
          <w:tcPr>
            <w:tcW w:w="1705" w:type="dxa"/>
          </w:tcPr>
          <w:p w:rsidR="00B114AA" w:rsidRDefault="009D7314">
            <w:r>
              <w:rPr>
                <w:rFonts w:ascii="宋体-WinCharSetFFFF-H" w:eastAsia="宋体-WinCharSetFFFF-H" w:hAnsiTheme="minorHAnsi" w:cs="宋体-WinCharSetFFFF-H"/>
                <w:kern w:val="0"/>
                <w:sz w:val="15"/>
                <w:szCs w:val="15"/>
              </w:rPr>
              <w:t>0.00</w:t>
            </w:r>
          </w:p>
        </w:tc>
      </w:tr>
      <w:tr w:rsidR="00B114AA">
        <w:trPr>
          <w:trHeight w:val="634"/>
        </w:trPr>
        <w:tc>
          <w:tcPr>
            <w:tcW w:w="8522" w:type="dxa"/>
            <w:gridSpan w:val="5"/>
          </w:tcPr>
          <w:p w:rsidR="00B114AA" w:rsidRDefault="009D7314">
            <w:pPr>
              <w:autoSpaceDE w:val="0"/>
              <w:autoSpaceDN w:val="0"/>
              <w:adjustRightInd w:val="0"/>
              <w:jc w:val="left"/>
              <w:rPr>
                <w:rFonts w:ascii="宋体-WinCharSetFFFF-H" w:eastAsia="宋体-WinCharSetFFFF-H" w:hAnsiTheme="minorHAnsi" w:cs="宋体-WinCharSetFFFF-H"/>
                <w:kern w:val="0"/>
                <w:sz w:val="18"/>
                <w:szCs w:val="18"/>
              </w:rPr>
            </w:pPr>
            <w:r>
              <w:rPr>
                <w:rFonts w:ascii="黑体-WinCharSetFFFF-H" w:eastAsia="黑体-WinCharSetFFFF-H" w:hAnsiTheme="minorHAnsi" w:cs="黑体-WinCharSetFFFF-H" w:hint="eastAsia"/>
                <w:kern w:val="0"/>
                <w:sz w:val="18"/>
                <w:szCs w:val="18"/>
              </w:rPr>
              <w:t>应用情况概述</w:t>
            </w:r>
            <w:r>
              <w:rPr>
                <w:rFonts w:ascii="宋体-WinCharSetFFFF-H" w:eastAsia="宋体-WinCharSetFFFF-H" w:hAnsiTheme="minorHAnsi" w:cs="宋体-WinCharSetFFFF-H" w:hint="eastAsia"/>
                <w:kern w:val="0"/>
                <w:sz w:val="18"/>
                <w:szCs w:val="18"/>
              </w:rPr>
              <w:t>：</w:t>
            </w:r>
          </w:p>
          <w:p w:rsidR="00B114AA" w:rsidRDefault="009D7314">
            <w:pPr>
              <w:autoSpaceDE w:val="0"/>
              <w:autoSpaceDN w:val="0"/>
              <w:adjustRightInd w:val="0"/>
              <w:jc w:val="left"/>
              <w:rPr>
                <w:rFonts w:ascii="宋体-WinCharSetFFFF-H" w:eastAsia="宋体-WinCharSetFFFF-H" w:hAnsiTheme="minorHAnsi" w:cs="宋体-WinCharSetFFFF-H"/>
                <w:kern w:val="0"/>
                <w:sz w:val="18"/>
                <w:szCs w:val="18"/>
              </w:rPr>
            </w:pPr>
            <w:r>
              <w:rPr>
                <w:rFonts w:ascii="宋体-WinCharSetFFFF-H" w:eastAsia="宋体-WinCharSetFFFF-H" w:hAnsiTheme="minorHAnsi" w:cs="宋体-WinCharSetFFFF-H" w:hint="eastAsia"/>
                <w:kern w:val="0"/>
                <w:sz w:val="18"/>
                <w:szCs w:val="18"/>
              </w:rPr>
              <w:t>（</w:t>
            </w:r>
            <w:r>
              <w:rPr>
                <w:rFonts w:eastAsia="黑体-WinCharSetFFFF-H"/>
                <w:kern w:val="0"/>
                <w:sz w:val="18"/>
                <w:szCs w:val="18"/>
              </w:rPr>
              <w:t>1</w:t>
            </w:r>
            <w:r>
              <w:rPr>
                <w:rFonts w:ascii="宋体-WinCharSetFFFF-H" w:eastAsia="宋体-WinCharSetFFFF-H" w:hAnsiTheme="minorHAnsi" w:cs="宋体-WinCharSetFFFF-H" w:hint="eastAsia"/>
                <w:kern w:val="0"/>
                <w:sz w:val="18"/>
                <w:szCs w:val="18"/>
              </w:rPr>
              <w:t>）平原水库富营养化预警模式研究成果已应用于青岛棘洪滩水库、东营南郊水库，经运行表明该研究成果可为平原水库富营养化防范提供重要技术支持，在保障平原水库水质、提高供水安全性等方面取得了较为明显的效果（附件【</w:t>
            </w:r>
            <w:r>
              <w:rPr>
                <w:rFonts w:eastAsia="黑体-WinCharSetFFFF-H"/>
                <w:kern w:val="0"/>
                <w:sz w:val="18"/>
                <w:szCs w:val="18"/>
              </w:rPr>
              <w:t>21</w:t>
            </w:r>
            <w:r>
              <w:rPr>
                <w:rFonts w:ascii="宋体-WinCharSetFFFF-H" w:eastAsia="宋体-WinCharSetFFFF-H" w:hAnsiTheme="minorHAnsi" w:cs="宋体-WinCharSetFFFF-H" w:hint="eastAsia"/>
                <w:kern w:val="0"/>
                <w:sz w:val="18"/>
                <w:szCs w:val="18"/>
              </w:rPr>
              <w:t>】、【</w:t>
            </w:r>
            <w:r>
              <w:rPr>
                <w:rFonts w:eastAsia="黑体-WinCharSetFFFF-H"/>
                <w:kern w:val="0"/>
                <w:sz w:val="18"/>
                <w:szCs w:val="18"/>
              </w:rPr>
              <w:t>22</w:t>
            </w:r>
            <w:r>
              <w:rPr>
                <w:rFonts w:ascii="宋体-WinCharSetFFFF-H" w:eastAsia="宋体-WinCharSetFFFF-H" w:hAnsiTheme="minorHAnsi" w:cs="宋体-WinCharSetFFFF-H" w:hint="eastAsia"/>
                <w:kern w:val="0"/>
                <w:sz w:val="18"/>
                <w:szCs w:val="18"/>
              </w:rPr>
              <w:t>】）。</w:t>
            </w:r>
          </w:p>
          <w:p w:rsidR="00B114AA" w:rsidRDefault="009D7314">
            <w:pPr>
              <w:autoSpaceDE w:val="0"/>
              <w:autoSpaceDN w:val="0"/>
              <w:adjustRightInd w:val="0"/>
              <w:jc w:val="left"/>
              <w:rPr>
                <w:rFonts w:ascii="宋体-WinCharSetFFFF-H" w:eastAsia="宋体-WinCharSetFFFF-H" w:hAnsiTheme="minorHAnsi" w:cs="宋体-WinCharSetFFFF-H"/>
                <w:kern w:val="0"/>
                <w:sz w:val="18"/>
                <w:szCs w:val="18"/>
              </w:rPr>
            </w:pPr>
            <w:r>
              <w:rPr>
                <w:rFonts w:ascii="宋体-WinCharSetFFFF-H" w:eastAsia="宋体-WinCharSetFFFF-H" w:hAnsiTheme="minorHAnsi" w:cs="宋体-WinCharSetFFFF-H" w:hint="eastAsia"/>
                <w:kern w:val="0"/>
                <w:sz w:val="18"/>
                <w:szCs w:val="18"/>
              </w:rPr>
              <w:t>（</w:t>
            </w:r>
            <w:r>
              <w:rPr>
                <w:rFonts w:eastAsia="黑体-WinCharSetFFFF-H"/>
                <w:kern w:val="0"/>
                <w:sz w:val="18"/>
                <w:szCs w:val="18"/>
              </w:rPr>
              <w:t>2</w:t>
            </w:r>
            <w:r>
              <w:rPr>
                <w:rFonts w:ascii="宋体-WinCharSetFFFF-H" w:eastAsia="宋体-WinCharSetFFFF-H" w:hAnsiTheme="minorHAnsi" w:cs="宋体-WinCharSetFFFF-H" w:hint="eastAsia"/>
                <w:kern w:val="0"/>
                <w:sz w:val="18"/>
                <w:szCs w:val="18"/>
              </w:rPr>
              <w:t>）利用滤食性鱼类控藻技术研究成果已应用于青岛棘洪滩水库、淄博新城水库和东营南郊水库，运行结果表明，投放一定量的鲢、鳙鱼，可明显改善水库水质，降低水中藻类及氮磷含量，减轻下游水厂原水预</w:t>
            </w:r>
            <w:r>
              <w:rPr>
                <w:rFonts w:ascii="宋体-WinCharSetFFFF-H" w:eastAsia="宋体-WinCharSetFFFF-H" w:hAnsiTheme="minorHAnsi" w:cs="宋体-WinCharSetFFFF-H" w:hint="eastAsia"/>
                <w:kern w:val="0"/>
                <w:sz w:val="18"/>
                <w:szCs w:val="18"/>
              </w:rPr>
              <w:lastRenderedPageBreak/>
              <w:t>处理成本，降低水厂药剂使用量（附件【</w:t>
            </w:r>
            <w:r>
              <w:rPr>
                <w:rFonts w:eastAsia="黑体-WinCharSetFFFF-H"/>
                <w:kern w:val="0"/>
                <w:sz w:val="18"/>
                <w:szCs w:val="18"/>
              </w:rPr>
              <w:t>21-23</w:t>
            </w:r>
            <w:r>
              <w:rPr>
                <w:rFonts w:ascii="宋体-WinCharSetFFFF-H" w:eastAsia="宋体-WinCharSetFFFF-H" w:hAnsiTheme="minorHAnsi" w:cs="宋体-WinCharSetFFFF-H" w:hint="eastAsia"/>
                <w:kern w:val="0"/>
                <w:sz w:val="18"/>
                <w:szCs w:val="18"/>
              </w:rPr>
              <w:t>】）。</w:t>
            </w:r>
          </w:p>
          <w:p w:rsidR="00B114AA" w:rsidRDefault="009D7314">
            <w:pPr>
              <w:autoSpaceDE w:val="0"/>
              <w:autoSpaceDN w:val="0"/>
              <w:adjustRightInd w:val="0"/>
              <w:jc w:val="left"/>
              <w:rPr>
                <w:rFonts w:ascii="宋体-WinCharSetFFFF-H" w:eastAsia="宋体-WinCharSetFFFF-H" w:hAnsiTheme="minorHAnsi" w:cs="宋体-WinCharSetFFFF-H"/>
                <w:kern w:val="0"/>
                <w:sz w:val="18"/>
                <w:szCs w:val="18"/>
              </w:rPr>
            </w:pPr>
            <w:r>
              <w:rPr>
                <w:rFonts w:ascii="宋体-WinCharSetFFFF-H" w:eastAsia="宋体-WinCharSetFFFF-H" w:hAnsiTheme="minorHAnsi" w:cs="宋体-WinCharSetFFFF-H" w:hint="eastAsia"/>
                <w:kern w:val="0"/>
                <w:sz w:val="18"/>
                <w:szCs w:val="18"/>
              </w:rPr>
              <w:t>（</w:t>
            </w:r>
            <w:r>
              <w:rPr>
                <w:rFonts w:eastAsia="黑体-WinCharSetFFFF-H"/>
                <w:kern w:val="0"/>
                <w:sz w:val="18"/>
                <w:szCs w:val="18"/>
              </w:rPr>
              <w:t>3</w:t>
            </w:r>
            <w:r>
              <w:rPr>
                <w:rFonts w:ascii="宋体-WinCharSetFFFF-H" w:eastAsia="宋体-WinCharSetFFFF-H" w:hAnsiTheme="minorHAnsi" w:cs="宋体-WinCharSetFFFF-H" w:hint="eastAsia"/>
                <w:kern w:val="0"/>
                <w:sz w:val="18"/>
                <w:szCs w:val="18"/>
              </w:rPr>
              <w:t>）通过对引黄济青渠首水质月变化情况以及调水沿程水质变化进行研究，确定了引黄济青工程多季节调水的可行性，该成果已应用于山东省胶东调水局</w:t>
            </w:r>
            <w:r>
              <w:rPr>
                <w:rFonts w:eastAsia="黑体-WinCharSetFFFF-H"/>
                <w:kern w:val="0"/>
                <w:sz w:val="18"/>
                <w:szCs w:val="18"/>
              </w:rPr>
              <w:t xml:space="preserve">2012 </w:t>
            </w:r>
            <w:r>
              <w:rPr>
                <w:rFonts w:ascii="宋体-WinCharSetFFFF-H" w:eastAsia="宋体-WinCharSetFFFF-H" w:hAnsiTheme="minorHAnsi" w:cs="宋体-WinCharSetFFFF-H" w:hint="eastAsia"/>
                <w:kern w:val="0"/>
                <w:sz w:val="18"/>
                <w:szCs w:val="18"/>
              </w:rPr>
              <w:t>年度及之后调水，结果表明，采用多季节调水，能有效提高青岛棘洪滩水库源水的保障供给，并有利于引水过程中合理调度，节约成本（附件【</w:t>
            </w:r>
            <w:r>
              <w:rPr>
                <w:rFonts w:eastAsia="黑体-WinCharSetFFFF-H"/>
                <w:kern w:val="0"/>
                <w:sz w:val="18"/>
                <w:szCs w:val="18"/>
              </w:rPr>
              <w:t>24</w:t>
            </w:r>
            <w:r>
              <w:rPr>
                <w:rFonts w:ascii="宋体-WinCharSetFFFF-H" w:eastAsia="宋体-WinCharSetFFFF-H" w:hAnsiTheme="minorHAnsi" w:cs="宋体-WinCharSetFFFF-H" w:hint="eastAsia"/>
                <w:kern w:val="0"/>
                <w:sz w:val="18"/>
                <w:szCs w:val="18"/>
              </w:rPr>
              <w:t>】）</w:t>
            </w:r>
            <w:r>
              <w:rPr>
                <w:rFonts w:ascii="宋体-WinCharSetFFFF-H" w:eastAsia="宋体-WinCharSetFFFF-H" w:hAnsiTheme="minorHAnsi" w:cs="宋体-WinCharSetFFFF-H" w:hint="eastAsia"/>
                <w:kern w:val="0"/>
                <w:sz w:val="15"/>
                <w:szCs w:val="15"/>
              </w:rPr>
              <w:t>。</w:t>
            </w:r>
          </w:p>
        </w:tc>
      </w:tr>
    </w:tbl>
    <w:p w:rsidR="00B114AA" w:rsidRDefault="009D7314">
      <w:r>
        <w:rPr>
          <w:rFonts w:hint="eastAsia"/>
        </w:rPr>
        <w:lastRenderedPageBreak/>
        <w:t>六、主要知识产权证明目录</w:t>
      </w:r>
    </w:p>
    <w:tbl>
      <w:tblPr>
        <w:tblStyle w:val="a6"/>
        <w:tblW w:w="8434" w:type="dxa"/>
        <w:tblLayout w:type="fixed"/>
        <w:tblLook w:val="04A0"/>
      </w:tblPr>
      <w:tblGrid>
        <w:gridCol w:w="534"/>
        <w:gridCol w:w="1332"/>
        <w:gridCol w:w="1219"/>
        <w:gridCol w:w="2126"/>
        <w:gridCol w:w="1134"/>
        <w:gridCol w:w="1146"/>
        <w:gridCol w:w="943"/>
      </w:tblGrid>
      <w:tr w:rsidR="00B114AA">
        <w:tc>
          <w:tcPr>
            <w:tcW w:w="534" w:type="dxa"/>
          </w:tcPr>
          <w:p w:rsidR="00B114AA" w:rsidRDefault="009D7314">
            <w:pPr>
              <w:autoSpaceDE w:val="0"/>
              <w:autoSpaceDN w:val="0"/>
              <w:adjustRightInd w:val="0"/>
              <w:jc w:val="center"/>
              <w:rPr>
                <w:rFonts w:asciiTheme="minorEastAsia" w:eastAsiaTheme="minorEastAsia" w:hAnsiTheme="minorEastAsia" w:cs="黑体-WinCharSetFFFF-H"/>
                <w:kern w:val="0"/>
                <w:sz w:val="15"/>
                <w:szCs w:val="15"/>
              </w:rPr>
            </w:pPr>
            <w:r>
              <w:rPr>
                <w:rFonts w:asciiTheme="minorEastAsia" w:eastAsiaTheme="minorEastAsia" w:hAnsiTheme="minorEastAsia" w:cs="黑体-WinCharSetFFFF-H" w:hint="eastAsia"/>
                <w:kern w:val="0"/>
                <w:sz w:val="15"/>
                <w:szCs w:val="15"/>
              </w:rPr>
              <w:t>序号</w:t>
            </w:r>
          </w:p>
        </w:tc>
        <w:tc>
          <w:tcPr>
            <w:tcW w:w="1332" w:type="dxa"/>
          </w:tcPr>
          <w:p w:rsidR="00B114AA" w:rsidRDefault="009D7314">
            <w:pPr>
              <w:autoSpaceDE w:val="0"/>
              <w:autoSpaceDN w:val="0"/>
              <w:adjustRightInd w:val="0"/>
              <w:jc w:val="center"/>
              <w:rPr>
                <w:rFonts w:asciiTheme="minorEastAsia" w:eastAsiaTheme="minorEastAsia" w:hAnsiTheme="minorEastAsia"/>
                <w:sz w:val="15"/>
                <w:szCs w:val="15"/>
              </w:rPr>
            </w:pPr>
            <w:r>
              <w:rPr>
                <w:rFonts w:asciiTheme="minorEastAsia" w:eastAsiaTheme="minorEastAsia" w:hAnsiTheme="minorEastAsia" w:cs="黑体-WinCharSetFFFF-H" w:hint="eastAsia"/>
                <w:kern w:val="0"/>
                <w:sz w:val="15"/>
                <w:szCs w:val="15"/>
              </w:rPr>
              <w:t>知识产权名称</w:t>
            </w:r>
          </w:p>
        </w:tc>
        <w:tc>
          <w:tcPr>
            <w:tcW w:w="1219" w:type="dxa"/>
          </w:tcPr>
          <w:p w:rsidR="00B114AA" w:rsidRDefault="009D7314">
            <w:pPr>
              <w:autoSpaceDE w:val="0"/>
              <w:autoSpaceDN w:val="0"/>
              <w:adjustRightInd w:val="0"/>
              <w:jc w:val="center"/>
              <w:rPr>
                <w:rFonts w:asciiTheme="minorEastAsia" w:eastAsiaTheme="minorEastAsia" w:hAnsiTheme="minorEastAsia" w:cs="黑体-WinCharSetFFFF-H"/>
                <w:kern w:val="0"/>
                <w:sz w:val="15"/>
                <w:szCs w:val="15"/>
              </w:rPr>
            </w:pPr>
            <w:r>
              <w:rPr>
                <w:rFonts w:asciiTheme="minorEastAsia" w:eastAsiaTheme="minorEastAsia" w:hAnsiTheme="minorEastAsia" w:cs="黑体-WinCharSetFFFF-H" w:hint="eastAsia"/>
                <w:kern w:val="0"/>
                <w:sz w:val="15"/>
                <w:szCs w:val="15"/>
              </w:rPr>
              <w:t>知识产权类别</w:t>
            </w:r>
          </w:p>
        </w:tc>
        <w:tc>
          <w:tcPr>
            <w:tcW w:w="2126" w:type="dxa"/>
          </w:tcPr>
          <w:p w:rsidR="00B114AA" w:rsidRDefault="009D7314">
            <w:pPr>
              <w:jc w:val="center"/>
              <w:rPr>
                <w:rFonts w:asciiTheme="minorEastAsia" w:eastAsiaTheme="minorEastAsia" w:hAnsiTheme="minorEastAsia"/>
                <w:sz w:val="15"/>
                <w:szCs w:val="15"/>
              </w:rPr>
            </w:pPr>
            <w:r>
              <w:rPr>
                <w:rFonts w:asciiTheme="minorEastAsia" w:eastAsiaTheme="minorEastAsia" w:hAnsiTheme="minorEastAsia" w:cs="黑体-WinCharSetFFFF-H" w:hint="eastAsia"/>
                <w:kern w:val="0"/>
                <w:sz w:val="15"/>
                <w:szCs w:val="15"/>
              </w:rPr>
              <w:t>发明人（作者）</w:t>
            </w:r>
          </w:p>
        </w:tc>
        <w:tc>
          <w:tcPr>
            <w:tcW w:w="1134" w:type="dxa"/>
          </w:tcPr>
          <w:p w:rsidR="00B114AA" w:rsidRDefault="009D7314">
            <w:pPr>
              <w:jc w:val="center"/>
              <w:rPr>
                <w:rFonts w:asciiTheme="minorEastAsia" w:eastAsiaTheme="minorEastAsia" w:hAnsiTheme="minorEastAsia"/>
                <w:sz w:val="15"/>
                <w:szCs w:val="15"/>
              </w:rPr>
            </w:pPr>
            <w:r>
              <w:rPr>
                <w:rFonts w:asciiTheme="minorEastAsia" w:eastAsiaTheme="minorEastAsia" w:hAnsiTheme="minorEastAsia" w:cs="黑体-WinCharSetFFFF-H" w:hint="eastAsia"/>
                <w:kern w:val="0"/>
                <w:sz w:val="15"/>
                <w:szCs w:val="15"/>
              </w:rPr>
              <w:t>知识产权人</w:t>
            </w:r>
          </w:p>
        </w:tc>
        <w:tc>
          <w:tcPr>
            <w:tcW w:w="1146" w:type="dxa"/>
          </w:tcPr>
          <w:p w:rsidR="00B114AA" w:rsidRDefault="009D7314">
            <w:pPr>
              <w:jc w:val="center"/>
              <w:rPr>
                <w:rFonts w:asciiTheme="minorEastAsia" w:eastAsiaTheme="minorEastAsia" w:hAnsiTheme="minorEastAsia"/>
                <w:sz w:val="15"/>
                <w:szCs w:val="15"/>
              </w:rPr>
            </w:pPr>
            <w:r>
              <w:rPr>
                <w:rFonts w:asciiTheme="minorEastAsia" w:eastAsiaTheme="minorEastAsia" w:hAnsiTheme="minorEastAsia" w:cs="黑体-WinCharSetFFFF-H" w:hint="eastAsia"/>
                <w:kern w:val="0"/>
                <w:sz w:val="15"/>
                <w:szCs w:val="15"/>
              </w:rPr>
              <w:t>知识产权号</w:t>
            </w:r>
          </w:p>
        </w:tc>
        <w:tc>
          <w:tcPr>
            <w:tcW w:w="943" w:type="dxa"/>
          </w:tcPr>
          <w:p w:rsidR="00B114AA" w:rsidRDefault="009D7314">
            <w:pPr>
              <w:jc w:val="center"/>
              <w:rPr>
                <w:rFonts w:asciiTheme="minorEastAsia" w:eastAsiaTheme="minorEastAsia" w:hAnsiTheme="minorEastAsia"/>
                <w:sz w:val="15"/>
                <w:szCs w:val="15"/>
              </w:rPr>
            </w:pPr>
            <w:r>
              <w:rPr>
                <w:rFonts w:asciiTheme="minorEastAsia" w:eastAsiaTheme="minorEastAsia" w:hAnsiTheme="minorEastAsia" w:cs="黑体-WinCharSetFFFF-H" w:hint="eastAsia"/>
                <w:kern w:val="0"/>
                <w:sz w:val="15"/>
                <w:szCs w:val="15"/>
              </w:rPr>
              <w:t>取得日期</w:t>
            </w:r>
          </w:p>
        </w:tc>
      </w:tr>
      <w:tr w:rsidR="00B114AA">
        <w:tc>
          <w:tcPr>
            <w:tcW w:w="534" w:type="dxa"/>
          </w:tcPr>
          <w:p w:rsidR="00B114AA" w:rsidRDefault="009D7314">
            <w:pPr>
              <w:jc w:val="center"/>
              <w:rPr>
                <w:sz w:val="11"/>
                <w:szCs w:val="11"/>
              </w:rPr>
            </w:pPr>
            <w:r>
              <w:rPr>
                <w:sz w:val="11"/>
                <w:szCs w:val="11"/>
              </w:rPr>
              <w:t>1</w:t>
            </w:r>
          </w:p>
        </w:tc>
        <w:tc>
          <w:tcPr>
            <w:tcW w:w="1332"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一种活沙制备方法</w:t>
            </w:r>
          </w:p>
        </w:tc>
        <w:tc>
          <w:tcPr>
            <w:tcW w:w="1219"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发明专利权</w:t>
            </w:r>
          </w:p>
        </w:tc>
        <w:tc>
          <w:tcPr>
            <w:tcW w:w="212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hint="eastAsia"/>
                <w:kern w:val="0"/>
                <w:sz w:val="11"/>
                <w:szCs w:val="11"/>
              </w:rPr>
              <w:t>宋志文；徐爱玲；郑远；吴等等</w:t>
            </w:r>
          </w:p>
        </w:tc>
        <w:tc>
          <w:tcPr>
            <w:tcW w:w="1134"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ZL201310060857.8</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2013-12-11</w:t>
            </w:r>
          </w:p>
        </w:tc>
      </w:tr>
      <w:tr w:rsidR="00B114AA">
        <w:tc>
          <w:tcPr>
            <w:tcW w:w="534" w:type="dxa"/>
          </w:tcPr>
          <w:p w:rsidR="00B114AA" w:rsidRDefault="009D7314">
            <w:pPr>
              <w:jc w:val="center"/>
              <w:rPr>
                <w:sz w:val="11"/>
                <w:szCs w:val="11"/>
              </w:rPr>
            </w:pPr>
            <w:r>
              <w:rPr>
                <w:sz w:val="11"/>
                <w:szCs w:val="11"/>
              </w:rPr>
              <w:t>2</w:t>
            </w:r>
          </w:p>
        </w:tc>
        <w:tc>
          <w:tcPr>
            <w:tcW w:w="1332"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一种活沙制备装置</w:t>
            </w:r>
          </w:p>
        </w:tc>
        <w:tc>
          <w:tcPr>
            <w:tcW w:w="1219"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发明专利</w:t>
            </w:r>
          </w:p>
        </w:tc>
        <w:tc>
          <w:tcPr>
            <w:tcW w:w="2126" w:type="dxa"/>
          </w:tcPr>
          <w:p w:rsidR="00B114AA" w:rsidRDefault="009D7314">
            <w:pPr>
              <w:autoSpaceDE w:val="0"/>
              <w:autoSpaceDN w:val="0"/>
              <w:adjustRightInd w:val="0"/>
              <w:rPr>
                <w:sz w:val="11"/>
                <w:szCs w:val="11"/>
              </w:rPr>
            </w:pPr>
            <w:r>
              <w:rPr>
                <w:rFonts w:asciiTheme="minorEastAsia" w:eastAsiaTheme="minorEastAsia" w:hAnsiTheme="minorEastAsia" w:cs="宋体-WinCharSetFFFF-H" w:hint="eastAsia"/>
                <w:kern w:val="0"/>
                <w:sz w:val="11"/>
                <w:szCs w:val="11"/>
              </w:rPr>
              <w:t>宋志文；徐爱玲；任杰；郑远；吴等等</w:t>
            </w:r>
          </w:p>
        </w:tc>
        <w:tc>
          <w:tcPr>
            <w:tcW w:w="1134"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ZL201310060816.9</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2014-03-19</w:t>
            </w:r>
          </w:p>
        </w:tc>
      </w:tr>
      <w:tr w:rsidR="00B114AA">
        <w:tc>
          <w:tcPr>
            <w:tcW w:w="534" w:type="dxa"/>
          </w:tcPr>
          <w:p w:rsidR="00B114AA" w:rsidRDefault="009D7314">
            <w:pPr>
              <w:jc w:val="center"/>
              <w:rPr>
                <w:sz w:val="11"/>
                <w:szCs w:val="11"/>
              </w:rPr>
            </w:pPr>
            <w:r>
              <w:rPr>
                <w:sz w:val="11"/>
                <w:szCs w:val="11"/>
              </w:rPr>
              <w:t>3</w:t>
            </w:r>
          </w:p>
        </w:tc>
        <w:tc>
          <w:tcPr>
            <w:tcW w:w="1332" w:type="dxa"/>
          </w:tcPr>
          <w:p w:rsidR="00B114AA" w:rsidRDefault="009D7314">
            <w:pPr>
              <w:autoSpaceDE w:val="0"/>
              <w:autoSpaceDN w:val="0"/>
              <w:adjustRightInd w:val="0"/>
              <w:jc w:val="center"/>
              <w:rPr>
                <w:rFonts w:asciiTheme="minorEastAsia" w:eastAsiaTheme="minorEastAsia" w:hAnsiTheme="minorEastAsia" w:cs="宋体-WinCharSetFFFF-H"/>
                <w:kern w:val="0"/>
                <w:sz w:val="11"/>
                <w:szCs w:val="11"/>
              </w:rPr>
            </w:pPr>
            <w:r>
              <w:rPr>
                <w:rFonts w:asciiTheme="minorEastAsia" w:eastAsiaTheme="minorEastAsia" w:hAnsiTheme="minorEastAsia" w:cs="宋体-WinCharSetFFFF-H" w:hint="eastAsia"/>
                <w:kern w:val="0"/>
                <w:sz w:val="11"/>
                <w:szCs w:val="11"/>
              </w:rPr>
              <w:t>一种趸船式河流漂浮垃圾自动收集装置</w:t>
            </w:r>
          </w:p>
        </w:tc>
        <w:tc>
          <w:tcPr>
            <w:tcW w:w="1219"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发明专利</w:t>
            </w:r>
          </w:p>
        </w:tc>
        <w:tc>
          <w:tcPr>
            <w:tcW w:w="2126"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武周虎</w:t>
            </w:r>
          </w:p>
        </w:tc>
        <w:tc>
          <w:tcPr>
            <w:tcW w:w="1134"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ZL201310175441.0</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2015-03-20</w:t>
            </w:r>
          </w:p>
        </w:tc>
      </w:tr>
      <w:tr w:rsidR="00B114AA">
        <w:tc>
          <w:tcPr>
            <w:tcW w:w="534" w:type="dxa"/>
          </w:tcPr>
          <w:p w:rsidR="00B114AA" w:rsidRDefault="009D7314">
            <w:pPr>
              <w:jc w:val="center"/>
              <w:rPr>
                <w:sz w:val="11"/>
                <w:szCs w:val="11"/>
              </w:rPr>
            </w:pPr>
            <w:r>
              <w:rPr>
                <w:sz w:val="11"/>
                <w:szCs w:val="11"/>
              </w:rPr>
              <w:t>4</w:t>
            </w:r>
          </w:p>
        </w:tc>
        <w:tc>
          <w:tcPr>
            <w:tcW w:w="1332" w:type="dxa"/>
          </w:tcPr>
          <w:p w:rsidR="00B114AA" w:rsidRDefault="009D7314">
            <w:pPr>
              <w:autoSpaceDE w:val="0"/>
              <w:autoSpaceDN w:val="0"/>
              <w:adjustRightInd w:val="0"/>
              <w:jc w:val="center"/>
              <w:rPr>
                <w:rFonts w:asciiTheme="minorEastAsia" w:eastAsiaTheme="minorEastAsia" w:hAnsiTheme="minorEastAsia" w:cs="宋体-WinCharSetFFFF-H"/>
                <w:kern w:val="0"/>
                <w:sz w:val="11"/>
                <w:szCs w:val="11"/>
              </w:rPr>
            </w:pPr>
            <w:r>
              <w:rPr>
                <w:rFonts w:asciiTheme="minorEastAsia" w:eastAsiaTheme="minorEastAsia" w:hAnsiTheme="minorEastAsia" w:cs="宋体-WinCharSetFFFF-H" w:hint="eastAsia"/>
                <w:kern w:val="0"/>
                <w:sz w:val="11"/>
                <w:szCs w:val="11"/>
              </w:rPr>
              <w:t>一种二段式潜流湿地污水处理方法</w:t>
            </w:r>
          </w:p>
        </w:tc>
        <w:tc>
          <w:tcPr>
            <w:tcW w:w="1219"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发明专利</w:t>
            </w:r>
          </w:p>
        </w:tc>
        <w:tc>
          <w:tcPr>
            <w:tcW w:w="212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hint="eastAsia"/>
                <w:kern w:val="0"/>
                <w:sz w:val="11"/>
                <w:szCs w:val="11"/>
              </w:rPr>
              <w:t>宋志文；孙贤风；王玮；阎逊；徐敏</w:t>
            </w:r>
          </w:p>
        </w:tc>
        <w:tc>
          <w:tcPr>
            <w:tcW w:w="1134"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ZL200510043788.5</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2008-11-26</w:t>
            </w:r>
          </w:p>
        </w:tc>
      </w:tr>
      <w:tr w:rsidR="00B114AA">
        <w:tc>
          <w:tcPr>
            <w:tcW w:w="534" w:type="dxa"/>
          </w:tcPr>
          <w:p w:rsidR="00B114AA" w:rsidRDefault="009D7314">
            <w:pPr>
              <w:jc w:val="center"/>
              <w:rPr>
                <w:sz w:val="11"/>
                <w:szCs w:val="11"/>
              </w:rPr>
            </w:pPr>
            <w:r>
              <w:rPr>
                <w:sz w:val="11"/>
                <w:szCs w:val="11"/>
              </w:rPr>
              <w:t>5</w:t>
            </w:r>
          </w:p>
        </w:tc>
        <w:tc>
          <w:tcPr>
            <w:tcW w:w="1332" w:type="dxa"/>
          </w:tcPr>
          <w:p w:rsidR="00B114AA" w:rsidRDefault="009D7314">
            <w:pPr>
              <w:autoSpaceDE w:val="0"/>
              <w:autoSpaceDN w:val="0"/>
              <w:adjustRightInd w:val="0"/>
              <w:jc w:val="center"/>
              <w:rPr>
                <w:rFonts w:asciiTheme="minorEastAsia" w:eastAsiaTheme="minorEastAsia" w:hAnsiTheme="minorEastAsia" w:cs="宋体-WinCharSetFFFF-H"/>
                <w:kern w:val="0"/>
                <w:sz w:val="11"/>
                <w:szCs w:val="11"/>
              </w:rPr>
            </w:pPr>
            <w:r>
              <w:rPr>
                <w:rFonts w:asciiTheme="minorEastAsia" w:eastAsiaTheme="minorEastAsia" w:hAnsiTheme="minorEastAsia" w:cs="宋体-WinCharSetFFFF-H" w:hint="eastAsia"/>
                <w:kern w:val="0"/>
                <w:sz w:val="11"/>
                <w:szCs w:val="11"/>
              </w:rPr>
              <w:t>一种浮游动物培养装置</w:t>
            </w:r>
          </w:p>
        </w:tc>
        <w:tc>
          <w:tcPr>
            <w:tcW w:w="1219"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发明专利</w:t>
            </w:r>
          </w:p>
        </w:tc>
        <w:tc>
          <w:tcPr>
            <w:tcW w:w="2126" w:type="dxa"/>
          </w:tcPr>
          <w:p w:rsidR="00B114AA" w:rsidRDefault="009D7314">
            <w:pPr>
              <w:autoSpaceDE w:val="0"/>
              <w:autoSpaceDN w:val="0"/>
              <w:adjustRightInd w:val="0"/>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李捷；李洛娜；张乐；梁彦娟</w:t>
            </w:r>
          </w:p>
        </w:tc>
        <w:tc>
          <w:tcPr>
            <w:tcW w:w="1134"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ZL200810014749.6</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2011-08-31</w:t>
            </w:r>
          </w:p>
        </w:tc>
      </w:tr>
      <w:tr w:rsidR="00B114AA">
        <w:tc>
          <w:tcPr>
            <w:tcW w:w="534" w:type="dxa"/>
          </w:tcPr>
          <w:p w:rsidR="00B114AA" w:rsidRDefault="009D7314">
            <w:pPr>
              <w:jc w:val="center"/>
              <w:rPr>
                <w:sz w:val="11"/>
                <w:szCs w:val="11"/>
              </w:rPr>
            </w:pPr>
            <w:r>
              <w:rPr>
                <w:sz w:val="11"/>
                <w:szCs w:val="11"/>
              </w:rPr>
              <w:t>6</w:t>
            </w:r>
          </w:p>
        </w:tc>
        <w:tc>
          <w:tcPr>
            <w:tcW w:w="1332"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一种活沙制备装置</w:t>
            </w:r>
          </w:p>
        </w:tc>
        <w:tc>
          <w:tcPr>
            <w:tcW w:w="1219"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hint="eastAsia"/>
                <w:kern w:val="0"/>
                <w:sz w:val="11"/>
                <w:szCs w:val="11"/>
              </w:rPr>
              <w:t>实用新型专利</w:t>
            </w:r>
          </w:p>
        </w:tc>
        <w:tc>
          <w:tcPr>
            <w:tcW w:w="2126" w:type="dxa"/>
          </w:tcPr>
          <w:p w:rsidR="00B114AA" w:rsidRDefault="009D7314">
            <w:pPr>
              <w:autoSpaceDE w:val="0"/>
              <w:autoSpaceDN w:val="0"/>
              <w:adjustRightInd w:val="0"/>
              <w:jc w:val="center"/>
              <w:rPr>
                <w:rFonts w:asciiTheme="minorEastAsia" w:eastAsiaTheme="minorEastAsia" w:hAnsiTheme="minorEastAsia"/>
                <w:sz w:val="11"/>
                <w:szCs w:val="11"/>
              </w:rPr>
            </w:pPr>
            <w:r>
              <w:rPr>
                <w:rFonts w:asciiTheme="minorEastAsia" w:eastAsiaTheme="minorEastAsia" w:hAnsiTheme="minorEastAsia" w:cs="宋体-WinCharSetFFFF-H" w:hint="eastAsia"/>
                <w:kern w:val="0"/>
                <w:sz w:val="11"/>
                <w:szCs w:val="11"/>
              </w:rPr>
              <w:t>宋志文；徐爱玲；郑远；吴等等</w:t>
            </w:r>
          </w:p>
        </w:tc>
        <w:tc>
          <w:tcPr>
            <w:tcW w:w="1134" w:type="dxa"/>
          </w:tcPr>
          <w:p w:rsidR="00B114AA" w:rsidRDefault="009D7314">
            <w:pPr>
              <w:jc w:val="center"/>
              <w:rPr>
                <w:sz w:val="11"/>
                <w:szCs w:val="11"/>
              </w:rPr>
            </w:pPr>
            <w:r>
              <w:rPr>
                <w:rFonts w:asciiTheme="minorEastAsia" w:eastAsiaTheme="minorEastAsia" w:hAnsiTheme="minorEastAsia" w:cs="宋体-WinCharSetFFFF-H" w:hint="eastAsia"/>
                <w:kern w:val="0"/>
                <w:sz w:val="11"/>
                <w:szCs w:val="11"/>
              </w:rPr>
              <w:t>青岛理工大学</w:t>
            </w:r>
          </w:p>
        </w:tc>
        <w:tc>
          <w:tcPr>
            <w:tcW w:w="1146" w:type="dxa"/>
          </w:tcPr>
          <w:p w:rsidR="00B114AA" w:rsidRDefault="009D7314">
            <w:pPr>
              <w:autoSpaceDE w:val="0"/>
              <w:autoSpaceDN w:val="0"/>
              <w:adjustRightInd w:val="0"/>
              <w:jc w:val="center"/>
              <w:rPr>
                <w:sz w:val="11"/>
                <w:szCs w:val="11"/>
              </w:rPr>
            </w:pPr>
            <w:r>
              <w:rPr>
                <w:rFonts w:asciiTheme="minorEastAsia" w:eastAsiaTheme="minorEastAsia" w:hAnsiTheme="minorEastAsia" w:cs="宋体-WinCharSetFFFF-H"/>
                <w:kern w:val="0"/>
                <w:sz w:val="11"/>
                <w:szCs w:val="11"/>
              </w:rPr>
              <w:t>ZL201320090699.6</w:t>
            </w:r>
          </w:p>
        </w:tc>
        <w:tc>
          <w:tcPr>
            <w:tcW w:w="943" w:type="dxa"/>
          </w:tcPr>
          <w:p w:rsidR="00B114AA" w:rsidRDefault="009D7314">
            <w:pPr>
              <w:jc w:val="center"/>
              <w:rPr>
                <w:rFonts w:asciiTheme="minorEastAsia" w:eastAsiaTheme="minorEastAsia" w:hAnsiTheme="minorEastAsia"/>
                <w:sz w:val="11"/>
                <w:szCs w:val="11"/>
              </w:rPr>
            </w:pPr>
            <w:r>
              <w:rPr>
                <w:rFonts w:asciiTheme="minorEastAsia" w:eastAsiaTheme="minorEastAsia" w:hAnsiTheme="minorEastAsia" w:cs="宋体-WinCharSetFFFF-H"/>
                <w:kern w:val="0"/>
                <w:sz w:val="11"/>
                <w:szCs w:val="11"/>
              </w:rPr>
              <w:t>2013-08-07</w:t>
            </w:r>
          </w:p>
        </w:tc>
      </w:tr>
    </w:tbl>
    <w:p w:rsidR="00B114AA" w:rsidRDefault="00B114AA"/>
    <w:p w:rsidR="00B114AA" w:rsidRDefault="009D7314">
      <w:r>
        <w:rPr>
          <w:rFonts w:hint="eastAsia"/>
        </w:rPr>
        <w:t>七、主要完成人情况</w:t>
      </w:r>
    </w:p>
    <w:p w:rsidR="00B114AA" w:rsidRDefault="009D7314">
      <w:pPr>
        <w:autoSpaceDE w:val="0"/>
        <w:autoSpaceDN w:val="0"/>
        <w:adjustRightInd w:val="0"/>
        <w:jc w:val="left"/>
      </w:pPr>
      <w:r>
        <w:rPr>
          <w:rFonts w:hint="eastAsia"/>
        </w:rPr>
        <w:t>1.</w:t>
      </w:r>
      <w:r>
        <w:rPr>
          <w:rFonts w:hint="eastAsia"/>
        </w:rPr>
        <w:t>姓名：吴裕德，排序：</w:t>
      </w:r>
      <w:r>
        <w:rPr>
          <w:rFonts w:hint="eastAsia"/>
        </w:rPr>
        <w:t>1/9</w:t>
      </w:r>
      <w:r>
        <w:rPr>
          <w:rFonts w:hint="eastAsia"/>
        </w:rPr>
        <w:t>，职称：高级工程师，工作单位：山东省胶东调水局青岛分局，对本项目技术创造性贡献：</w:t>
      </w:r>
      <w:r>
        <w:t xml:space="preserve"> </w:t>
      </w:r>
      <w:r>
        <w:rPr>
          <w:rFonts w:hint="eastAsia"/>
        </w:rPr>
        <w:t>（</w:t>
      </w:r>
      <w:r>
        <w:t>1</w:t>
      </w:r>
      <w:r>
        <w:rPr>
          <w:rFonts w:hint="eastAsia"/>
        </w:rPr>
        <w:t>）项目总体策划、组织实施、技术路线和研究方案制定，成果推广应用。（</w:t>
      </w:r>
      <w:r>
        <w:t>2</w:t>
      </w:r>
      <w:r>
        <w:rPr>
          <w:rFonts w:hint="eastAsia"/>
        </w:rPr>
        <w:t>）对创新点</w:t>
      </w:r>
      <w:r>
        <w:t>1</w:t>
      </w:r>
      <w:r>
        <w:rPr>
          <w:rFonts w:hint="eastAsia"/>
        </w:rPr>
        <w:t>、</w:t>
      </w:r>
      <w:r>
        <w:t>3</w:t>
      </w:r>
      <w:r>
        <w:rPr>
          <w:rFonts w:hint="eastAsia"/>
        </w:rPr>
        <w:t>、</w:t>
      </w:r>
      <w:r>
        <w:t xml:space="preserve">6 </w:t>
      </w:r>
      <w:r>
        <w:rPr>
          <w:rFonts w:hint="eastAsia"/>
        </w:rPr>
        <w:t>做出贡献（附件【</w:t>
      </w:r>
      <w:r>
        <w:t>10</w:t>
      </w:r>
      <w:r>
        <w:rPr>
          <w:rFonts w:hint="eastAsia"/>
        </w:rPr>
        <w:t>】、【</w:t>
      </w:r>
      <w:r>
        <w:t>17</w:t>
      </w:r>
      <w:r>
        <w:rPr>
          <w:rFonts w:hint="eastAsia"/>
        </w:rPr>
        <w:t>】、【</w:t>
      </w:r>
      <w:r>
        <w:t>18</w:t>
      </w:r>
      <w:r>
        <w:rPr>
          <w:rFonts w:hint="eastAsia"/>
        </w:rPr>
        <w:t>】）。（</w:t>
      </w:r>
      <w:r>
        <w:t>3</w:t>
      </w:r>
      <w:r>
        <w:rPr>
          <w:rFonts w:hint="eastAsia"/>
        </w:rPr>
        <w:t>）通过鲢鱼、鳙鱼控制藻类繁殖围隔试验，确定水库鲢鱼、鳙鱼最合理的放养密度和比例，并成功应用于青岛棘洪滩水库等单位（附件【</w:t>
      </w:r>
      <w:r>
        <w:t>21-24</w:t>
      </w:r>
      <w:r>
        <w:rPr>
          <w:rFonts w:hint="eastAsia"/>
        </w:rPr>
        <w:t>】）。（</w:t>
      </w:r>
      <w:r>
        <w:t>4</w:t>
      </w:r>
      <w:r>
        <w:rPr>
          <w:rFonts w:hint="eastAsia"/>
        </w:rPr>
        <w:t>）课题研究期间投入该项技术研究工作量占本人工作量的</w:t>
      </w:r>
      <w:r>
        <w:t>50%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2. </w:t>
      </w:r>
      <w:r>
        <w:rPr>
          <w:rFonts w:hint="eastAsia"/>
        </w:rPr>
        <w:t>姓名：宋志文，排序：</w:t>
      </w:r>
      <w:r>
        <w:rPr>
          <w:rFonts w:hint="eastAsia"/>
        </w:rPr>
        <w:t>2/9</w:t>
      </w:r>
      <w:r>
        <w:rPr>
          <w:rFonts w:hint="eastAsia"/>
        </w:rPr>
        <w:t>，职称：教授，工作单位：青岛理工大学，对本项目技术创造性贡献：（</w:t>
      </w:r>
      <w:r>
        <w:t>1</w:t>
      </w:r>
      <w:r>
        <w:rPr>
          <w:rFonts w:hint="eastAsia"/>
        </w:rPr>
        <w:t>）项目立项、技术路线和研究方案制定，指导实际应用，对创新点</w:t>
      </w:r>
      <w:r>
        <w:t>1</w:t>
      </w:r>
      <w:r>
        <w:rPr>
          <w:rFonts w:hint="eastAsia"/>
        </w:rPr>
        <w:t>、</w:t>
      </w:r>
      <w:r>
        <w:t xml:space="preserve">6 </w:t>
      </w:r>
      <w:r>
        <w:rPr>
          <w:rFonts w:hint="eastAsia"/>
        </w:rPr>
        <w:t>做出贡献。（</w:t>
      </w:r>
      <w:r>
        <w:t>2</w:t>
      </w:r>
      <w:r>
        <w:rPr>
          <w:rFonts w:hint="eastAsia"/>
        </w:rPr>
        <w:t>）研究了引黄济青渠首水质变化以及调水沿程水质变化，确定引黄济青调水对水库污染物的贡献，为多季节调水提供了依据（附件【</w:t>
      </w:r>
      <w:r>
        <w:t>10</w:t>
      </w:r>
      <w:r>
        <w:rPr>
          <w:rFonts w:hint="eastAsia"/>
        </w:rPr>
        <w:t>】、【</w:t>
      </w:r>
      <w:r>
        <w:t>11</w:t>
      </w:r>
      <w:r>
        <w:rPr>
          <w:rFonts w:hint="eastAsia"/>
        </w:rPr>
        <w:t>】、【</w:t>
      </w:r>
      <w:r>
        <w:t>17-20</w:t>
      </w:r>
      <w:r>
        <w:rPr>
          <w:rFonts w:hint="eastAsia"/>
        </w:rPr>
        <w:t>】、【</w:t>
      </w:r>
      <w:r>
        <w:t>26</w:t>
      </w:r>
      <w:r>
        <w:rPr>
          <w:rFonts w:hint="eastAsia"/>
        </w:rPr>
        <w:t>】、【</w:t>
      </w:r>
      <w:r>
        <w:t>31-33</w:t>
      </w:r>
      <w:r>
        <w:rPr>
          <w:rFonts w:hint="eastAsia"/>
        </w:rPr>
        <w:t>】）。</w:t>
      </w:r>
      <w:r>
        <w:t>3</w:t>
      </w:r>
      <w:r>
        <w:rPr>
          <w:rFonts w:hint="eastAsia"/>
        </w:rPr>
        <w:t>）研究了利用引黄济青沉砂池中砂作为微生物载体制备活沙，研究成果获</w:t>
      </w:r>
      <w:r>
        <w:t xml:space="preserve">2 </w:t>
      </w:r>
      <w:r>
        <w:rPr>
          <w:rFonts w:hint="eastAsia"/>
        </w:rPr>
        <w:t>项授权国家专利（附件【</w:t>
      </w:r>
      <w:r>
        <w:t>1</w:t>
      </w:r>
      <w:r>
        <w:rPr>
          <w:rFonts w:hint="eastAsia"/>
        </w:rPr>
        <w:t>】、【</w:t>
      </w:r>
      <w:r>
        <w:t>2</w:t>
      </w:r>
      <w:r>
        <w:rPr>
          <w:rFonts w:hint="eastAsia"/>
        </w:rPr>
        <w:t>】、【</w:t>
      </w:r>
      <w:r>
        <w:t>6</w:t>
      </w:r>
      <w:r>
        <w:rPr>
          <w:rFonts w:hint="eastAsia"/>
        </w:rPr>
        <w:t>】）。（</w:t>
      </w:r>
      <w:r>
        <w:t>4</w:t>
      </w:r>
      <w:r>
        <w:rPr>
          <w:rFonts w:hint="eastAsia"/>
        </w:rPr>
        <w:t>）提出一种两段式潜流人工湿地处理新工艺，研究成果获授权国家专利（附件【</w:t>
      </w:r>
      <w:r>
        <w:t>4</w:t>
      </w:r>
      <w:r>
        <w:rPr>
          <w:rFonts w:hint="eastAsia"/>
        </w:rPr>
        <w:t>】）。（</w:t>
      </w:r>
      <w:r>
        <w:t>5</w:t>
      </w:r>
      <w:r>
        <w:rPr>
          <w:rFonts w:hint="eastAsia"/>
        </w:rPr>
        <w:t>）课题研究期间投入该项技术研究工作量占本人工作量的</w:t>
      </w:r>
      <w:r>
        <w:t>60%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3. </w:t>
      </w:r>
      <w:r>
        <w:rPr>
          <w:rFonts w:hint="eastAsia"/>
        </w:rPr>
        <w:t>姓名：武周虎，排序：</w:t>
      </w:r>
      <w:r>
        <w:rPr>
          <w:rFonts w:hint="eastAsia"/>
        </w:rPr>
        <w:t>3/9</w:t>
      </w:r>
      <w:r>
        <w:rPr>
          <w:rFonts w:hint="eastAsia"/>
        </w:rPr>
        <w:t>，职称：教授，工作单位：青岛理工大学，对本项目技术创造性贡献：（</w:t>
      </w:r>
      <w:r>
        <w:t>1</w:t>
      </w:r>
      <w:r>
        <w:rPr>
          <w:rFonts w:hint="eastAsia"/>
        </w:rPr>
        <w:t>）完成人对本项目创新栏中的</w:t>
      </w:r>
      <w:r>
        <w:t>1</w:t>
      </w:r>
      <w:r>
        <w:rPr>
          <w:rFonts w:hint="eastAsia"/>
        </w:rPr>
        <w:t>、</w:t>
      </w:r>
      <w:r>
        <w:t xml:space="preserve">5 </w:t>
      </w:r>
      <w:r>
        <w:rPr>
          <w:rFonts w:hint="eastAsia"/>
        </w:rPr>
        <w:t>项做出了重要贡献。（</w:t>
      </w:r>
      <w:r>
        <w:t>2</w:t>
      </w:r>
      <w:r>
        <w:rPr>
          <w:rFonts w:hint="eastAsia"/>
        </w:rPr>
        <w:t>）以平原水库为研究对象，进行平原水库水文情势与调度运行的水动力学分析，研究平原水库调水期流场与非调水期风生流场的模拟，建立平原水库富营养化模型（总磷预算模型）（附件【</w:t>
      </w:r>
      <w:r>
        <w:t>12-14</w:t>
      </w:r>
      <w:r>
        <w:rPr>
          <w:rFonts w:hint="eastAsia"/>
        </w:rPr>
        <w:t>】、【</w:t>
      </w:r>
      <w:r>
        <w:t>17-18</w:t>
      </w:r>
      <w:r>
        <w:rPr>
          <w:rFonts w:hint="eastAsia"/>
        </w:rPr>
        <w:t>】、【</w:t>
      </w:r>
      <w:r>
        <w:t>31-33</w:t>
      </w:r>
      <w:r>
        <w:rPr>
          <w:rFonts w:hint="eastAsia"/>
        </w:rPr>
        <w:t>】）。（</w:t>
      </w:r>
      <w:r>
        <w:t>3</w:t>
      </w:r>
      <w:r>
        <w:rPr>
          <w:rFonts w:hint="eastAsia"/>
        </w:rPr>
        <w:t>）“一种趸船式河流漂浮垃圾自动收集装置”获得发明专利授权，可应用于河流、水库漂浮垃圾收集（附件【</w:t>
      </w:r>
      <w:r>
        <w:t>3</w:t>
      </w:r>
      <w:r>
        <w:rPr>
          <w:rFonts w:hint="eastAsia"/>
        </w:rPr>
        <w:t>】、【</w:t>
      </w:r>
      <w:r>
        <w:t>27</w:t>
      </w:r>
      <w:r>
        <w:rPr>
          <w:rFonts w:hint="eastAsia"/>
        </w:rPr>
        <w:t>】）。（</w:t>
      </w:r>
      <w:r>
        <w:t>4</w:t>
      </w:r>
      <w:r>
        <w:rPr>
          <w:rFonts w:hint="eastAsia"/>
        </w:rPr>
        <w:t>）课题研究期间投入该项技术研究工作量占本人工作量的</w:t>
      </w:r>
      <w:r>
        <w:t>50%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4. </w:t>
      </w:r>
      <w:r>
        <w:rPr>
          <w:rFonts w:hint="eastAsia"/>
        </w:rPr>
        <w:t>姓名：马继平，排序：</w:t>
      </w:r>
      <w:r>
        <w:rPr>
          <w:rFonts w:hint="eastAsia"/>
        </w:rPr>
        <w:t>4/9</w:t>
      </w:r>
      <w:r>
        <w:rPr>
          <w:rFonts w:hint="eastAsia"/>
        </w:rPr>
        <w:t>，职称：教授，工作单位：青岛理工大学，对本项目技术创造性贡献：（</w:t>
      </w:r>
      <w:r>
        <w:t>1</w:t>
      </w:r>
      <w:r>
        <w:rPr>
          <w:rFonts w:hint="eastAsia"/>
        </w:rPr>
        <w:t>）完成人对本栏目创新栏中的</w:t>
      </w:r>
      <w:r>
        <w:t>1</w:t>
      </w:r>
      <w:r>
        <w:rPr>
          <w:rFonts w:hint="eastAsia"/>
        </w:rPr>
        <w:t>、</w:t>
      </w:r>
      <w:r>
        <w:t xml:space="preserve">2 </w:t>
      </w:r>
      <w:r>
        <w:rPr>
          <w:rFonts w:hint="eastAsia"/>
        </w:rPr>
        <w:t>项做出了重要贡献。（</w:t>
      </w:r>
      <w:r>
        <w:t>2</w:t>
      </w:r>
      <w:r>
        <w:rPr>
          <w:rFonts w:hint="eastAsia"/>
        </w:rPr>
        <w:t>）优化了固相萃取</w:t>
      </w:r>
      <w:r>
        <w:t>-</w:t>
      </w:r>
      <w:r>
        <w:rPr>
          <w:rFonts w:hint="eastAsia"/>
        </w:rPr>
        <w:t>高效液相色谱法定量分析环境水样中</w:t>
      </w:r>
      <w:r>
        <w:t xml:space="preserve">MC-RR </w:t>
      </w:r>
      <w:r>
        <w:rPr>
          <w:rFonts w:hint="eastAsia"/>
        </w:rPr>
        <w:t>和</w:t>
      </w:r>
      <w:r>
        <w:t xml:space="preserve">MC-LR </w:t>
      </w:r>
      <w:r>
        <w:rPr>
          <w:rFonts w:hint="eastAsia"/>
        </w:rPr>
        <w:t>两种微囊藻毒素的方法（附件</w:t>
      </w:r>
    </w:p>
    <w:p w:rsidR="00B114AA" w:rsidRDefault="009D7314">
      <w:pPr>
        <w:autoSpaceDE w:val="0"/>
        <w:autoSpaceDN w:val="0"/>
        <w:adjustRightInd w:val="0"/>
        <w:jc w:val="left"/>
      </w:pPr>
      <w:r>
        <w:rPr>
          <w:rFonts w:hint="eastAsia"/>
        </w:rPr>
        <w:t>【</w:t>
      </w:r>
      <w:r>
        <w:t>7</w:t>
      </w:r>
      <w:r>
        <w:rPr>
          <w:rFonts w:hint="eastAsia"/>
        </w:rPr>
        <w:t>】）。（</w:t>
      </w:r>
      <w:r>
        <w:t>3</w:t>
      </w:r>
      <w:r>
        <w:rPr>
          <w:rFonts w:hint="eastAsia"/>
        </w:rPr>
        <w:t>）建立了液相微萃取</w:t>
      </w:r>
      <w:r>
        <w:t>-</w:t>
      </w:r>
      <w:r>
        <w:rPr>
          <w:rFonts w:hint="eastAsia"/>
        </w:rPr>
        <w:t>气相色谱</w:t>
      </w:r>
      <w:r>
        <w:t>-</w:t>
      </w:r>
      <w:r>
        <w:rPr>
          <w:rFonts w:hint="eastAsia"/>
        </w:rPr>
        <w:t>质谱法测定水中致嗅有机物土臭素（</w:t>
      </w:r>
      <w:r>
        <w:t>GSM</w:t>
      </w:r>
      <w:r>
        <w:rPr>
          <w:rFonts w:hint="eastAsia"/>
        </w:rPr>
        <w:t>）和</w:t>
      </w:r>
      <w:r>
        <w:t>2-</w:t>
      </w:r>
      <w:r>
        <w:rPr>
          <w:rFonts w:hint="eastAsia"/>
        </w:rPr>
        <w:t>甲基异冰片（</w:t>
      </w:r>
      <w:r>
        <w:t>MIB</w:t>
      </w:r>
      <w:r>
        <w:rPr>
          <w:rFonts w:hint="eastAsia"/>
        </w:rPr>
        <w:t>）含量的方法，并应用于棘洪滩水库水体中微囊藻毒素和致嗅物质含量的</w:t>
      </w:r>
      <w:r>
        <w:rPr>
          <w:rFonts w:hint="eastAsia"/>
        </w:rPr>
        <w:lastRenderedPageBreak/>
        <w:t>检测（附件【</w:t>
      </w:r>
      <w:r>
        <w:t>8</w:t>
      </w:r>
      <w:r>
        <w:rPr>
          <w:rFonts w:hint="eastAsia"/>
        </w:rPr>
        <w:t>】）。（</w:t>
      </w:r>
      <w:r>
        <w:t>4</w:t>
      </w:r>
      <w:r>
        <w:rPr>
          <w:rFonts w:hint="eastAsia"/>
        </w:rPr>
        <w:t>）分析了不同类型平原水库的水质特征，确定了平原水库存在的主要问题（附件【</w:t>
      </w:r>
      <w:r>
        <w:t>9</w:t>
      </w:r>
      <w:r>
        <w:rPr>
          <w:rFonts w:hint="eastAsia"/>
        </w:rPr>
        <w:t>】、【</w:t>
      </w:r>
      <w:r>
        <w:t>17-20</w:t>
      </w:r>
      <w:r>
        <w:rPr>
          <w:rFonts w:hint="eastAsia"/>
        </w:rPr>
        <w:t>】）。（</w:t>
      </w:r>
      <w:r>
        <w:t>5</w:t>
      </w:r>
      <w:r>
        <w:rPr>
          <w:rFonts w:hint="eastAsia"/>
        </w:rPr>
        <w:t>）课题研究期间投入该项技术研究工作量占本人工作量的</w:t>
      </w:r>
      <w:r>
        <w:t>40%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5. </w:t>
      </w:r>
      <w:r>
        <w:rPr>
          <w:rFonts w:hint="eastAsia"/>
        </w:rPr>
        <w:t>姓名：孙辉，排序：</w:t>
      </w:r>
      <w:r>
        <w:rPr>
          <w:rFonts w:hint="eastAsia"/>
        </w:rPr>
        <w:t>5/9</w:t>
      </w:r>
      <w:r>
        <w:rPr>
          <w:rFonts w:hint="eastAsia"/>
        </w:rPr>
        <w:t>，职称：高级工程师，工作单位：山东省胶东调水局青岛分局，对本项目技术创造性贡献：（</w:t>
      </w:r>
      <w:r>
        <w:rPr>
          <w:rFonts w:hint="eastAsia"/>
        </w:rPr>
        <w:t>1</w:t>
      </w:r>
      <w:r>
        <w:rPr>
          <w:rFonts w:hint="eastAsia"/>
        </w:rPr>
        <w:t>）完成人对本项目创新栏中的</w:t>
      </w:r>
      <w:r>
        <w:t>1</w:t>
      </w:r>
      <w:r>
        <w:rPr>
          <w:rFonts w:hint="eastAsia"/>
        </w:rPr>
        <w:t>、</w:t>
      </w:r>
      <w:r>
        <w:t xml:space="preserve">2 </w:t>
      </w:r>
      <w:r>
        <w:rPr>
          <w:rFonts w:hint="eastAsia"/>
        </w:rPr>
        <w:t>项做出了重要贡献。（</w:t>
      </w:r>
      <w:r>
        <w:rPr>
          <w:rFonts w:hint="eastAsia"/>
        </w:rPr>
        <w:t>2</w:t>
      </w:r>
      <w:r>
        <w:rPr>
          <w:rFonts w:hint="eastAsia"/>
        </w:rPr>
        <w:t>）参与了平原水库富营养化现状调查和评价，参与了项目成果应用推广工作（附件【</w:t>
      </w:r>
      <w:r>
        <w:t>15</w:t>
      </w:r>
      <w:r>
        <w:rPr>
          <w:rFonts w:hint="eastAsia"/>
        </w:rPr>
        <w:t>】、【</w:t>
      </w:r>
      <w:r>
        <w:t>17-18</w:t>
      </w:r>
      <w:r>
        <w:rPr>
          <w:rFonts w:hint="eastAsia"/>
        </w:rPr>
        <w:t>】、【</w:t>
      </w:r>
      <w:r>
        <w:t>22-24</w:t>
      </w:r>
      <w:r>
        <w:rPr>
          <w:rFonts w:hint="eastAsia"/>
        </w:rPr>
        <w:t>】）。（</w:t>
      </w:r>
      <w:r>
        <w:rPr>
          <w:rFonts w:hint="eastAsia"/>
        </w:rPr>
        <w:t>3</w:t>
      </w:r>
      <w:r>
        <w:rPr>
          <w:rFonts w:hint="eastAsia"/>
        </w:rPr>
        <w:t>）课题研究期间投入该项技术研究工作量占本人工作量的</w:t>
      </w:r>
      <w:r>
        <w:t>40%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6. </w:t>
      </w:r>
      <w:r>
        <w:rPr>
          <w:rFonts w:hint="eastAsia"/>
        </w:rPr>
        <w:t>姓名：李捷，排序：</w:t>
      </w:r>
      <w:r>
        <w:rPr>
          <w:rFonts w:hint="eastAsia"/>
        </w:rPr>
        <w:t>6/9</w:t>
      </w:r>
      <w:r>
        <w:rPr>
          <w:rFonts w:hint="eastAsia"/>
        </w:rPr>
        <w:t>，职称：教授，工作单位：青岛理工大学，对本项目技术创造性贡献：（</w:t>
      </w:r>
      <w:r>
        <w:rPr>
          <w:rFonts w:hint="eastAsia"/>
        </w:rPr>
        <w:t>1</w:t>
      </w:r>
      <w:r>
        <w:rPr>
          <w:rFonts w:hint="eastAsia"/>
        </w:rPr>
        <w:t>）完成人对本项目创新栏中的</w:t>
      </w:r>
      <w:r>
        <w:t xml:space="preserve">1 </w:t>
      </w:r>
      <w:r>
        <w:rPr>
          <w:rFonts w:hint="eastAsia"/>
        </w:rPr>
        <w:t>项做出了重要贡献。（</w:t>
      </w:r>
      <w:r>
        <w:rPr>
          <w:rFonts w:hint="eastAsia"/>
        </w:rPr>
        <w:t>2</w:t>
      </w:r>
      <w:r>
        <w:rPr>
          <w:rFonts w:hint="eastAsia"/>
        </w:rPr>
        <w:t>）研究了平原水库不同采样点的物理因子特性，营养盐平面分布和季节分布规律；水库水质、底泥状况；浮游植物与浮游动物的种类组成、丰度、关键种及多样性；对平原水库水环境问题进行诊断，进行平原水</w:t>
      </w:r>
    </w:p>
    <w:p w:rsidR="00B114AA" w:rsidRDefault="009D7314">
      <w:pPr>
        <w:autoSpaceDE w:val="0"/>
        <w:autoSpaceDN w:val="0"/>
        <w:adjustRightInd w:val="0"/>
        <w:jc w:val="left"/>
      </w:pPr>
      <w:r>
        <w:rPr>
          <w:rFonts w:hint="eastAsia"/>
        </w:rPr>
        <w:t>库富营养化评价（附件【</w:t>
      </w:r>
      <w:r>
        <w:t>5</w:t>
      </w:r>
      <w:r>
        <w:rPr>
          <w:rFonts w:hint="eastAsia"/>
        </w:rPr>
        <w:t>】、【</w:t>
      </w:r>
      <w:r>
        <w:t>9</w:t>
      </w:r>
      <w:r>
        <w:rPr>
          <w:rFonts w:hint="eastAsia"/>
        </w:rPr>
        <w:t>】、【</w:t>
      </w:r>
      <w:r>
        <w:t>16-20</w:t>
      </w:r>
      <w:r>
        <w:rPr>
          <w:rFonts w:hint="eastAsia"/>
        </w:rPr>
        <w:t>】）。（</w:t>
      </w:r>
      <w:r>
        <w:rPr>
          <w:rFonts w:hint="eastAsia"/>
        </w:rPr>
        <w:t>3</w:t>
      </w:r>
      <w:r>
        <w:rPr>
          <w:rFonts w:hint="eastAsia"/>
        </w:rPr>
        <w:t>）课题研究期间投入该项技术研究工作量占本人工作量的</w:t>
      </w:r>
      <w:r>
        <w:t>40%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7. </w:t>
      </w:r>
      <w:r>
        <w:rPr>
          <w:rFonts w:hint="eastAsia"/>
        </w:rPr>
        <w:t>姓名：周利，排序：</w:t>
      </w:r>
      <w:r>
        <w:rPr>
          <w:rFonts w:hint="eastAsia"/>
        </w:rPr>
        <w:t>7/9</w:t>
      </w:r>
      <w:r>
        <w:rPr>
          <w:rFonts w:hint="eastAsia"/>
        </w:rPr>
        <w:t>，职称：教授，工作单位：青岛理工大学，对本项目技术创造性贡献：（</w:t>
      </w:r>
      <w:r>
        <w:t>1</w:t>
      </w:r>
      <w:r>
        <w:rPr>
          <w:rFonts w:hint="eastAsia"/>
        </w:rPr>
        <w:t>）完成人对本项目创新栏中的第</w:t>
      </w:r>
      <w:r>
        <w:t xml:space="preserve">3 </w:t>
      </w:r>
      <w:r>
        <w:rPr>
          <w:rFonts w:hint="eastAsia"/>
        </w:rPr>
        <w:t>项做出了重要贡献。（</w:t>
      </w:r>
      <w:r>
        <w:t>2</w:t>
      </w:r>
      <w:r>
        <w:rPr>
          <w:rFonts w:hint="eastAsia"/>
        </w:rPr>
        <w:t>）针对平原水库水质特点，利用生态、物理和化学等多种技术方法，建立了预氧化混凝除藻、水生植物净化、前置库混凝除磷等平原水库富营养化防治技术（附件【</w:t>
      </w:r>
      <w:r>
        <w:t>10</w:t>
      </w:r>
      <w:r>
        <w:rPr>
          <w:rFonts w:hint="eastAsia"/>
        </w:rPr>
        <w:t>】、【</w:t>
      </w:r>
      <w:r>
        <w:t>15</w:t>
      </w:r>
      <w:r>
        <w:rPr>
          <w:rFonts w:hint="eastAsia"/>
        </w:rPr>
        <w:t>】、【</w:t>
      </w:r>
      <w:r>
        <w:t>17-23</w:t>
      </w:r>
      <w:r>
        <w:rPr>
          <w:rFonts w:hint="eastAsia"/>
        </w:rPr>
        <w:t>】、【</w:t>
      </w:r>
      <w:r>
        <w:t>31-33</w:t>
      </w:r>
      <w:r>
        <w:rPr>
          <w:rFonts w:hint="eastAsia"/>
        </w:rPr>
        <w:t>】）。（</w:t>
      </w:r>
      <w:r>
        <w:t>3</w:t>
      </w:r>
      <w:r>
        <w:rPr>
          <w:rFonts w:hint="eastAsia"/>
        </w:rPr>
        <w:t>）课题研究期间投入该项技术研究工作量占本人工作量的</w:t>
      </w:r>
      <w:r>
        <w:t>40%</w:t>
      </w:r>
      <w:r>
        <w:rPr>
          <w:rFonts w:hint="eastAsia"/>
        </w:rPr>
        <w:t>。</w:t>
      </w:r>
    </w:p>
    <w:p w:rsidR="00B114AA" w:rsidRDefault="00B114AA"/>
    <w:p w:rsidR="00B114AA" w:rsidRDefault="009D7314">
      <w:pPr>
        <w:autoSpaceDE w:val="0"/>
        <w:autoSpaceDN w:val="0"/>
        <w:adjustRightInd w:val="0"/>
        <w:jc w:val="left"/>
      </w:pPr>
      <w:r>
        <w:rPr>
          <w:rFonts w:hint="eastAsia"/>
        </w:rPr>
        <w:t xml:space="preserve">8. </w:t>
      </w:r>
      <w:r>
        <w:rPr>
          <w:rFonts w:hint="eastAsia"/>
        </w:rPr>
        <w:t>姓名：徐爱玲，排序：</w:t>
      </w:r>
      <w:r>
        <w:rPr>
          <w:rFonts w:hint="eastAsia"/>
        </w:rPr>
        <w:t>8/9</w:t>
      </w:r>
      <w:r>
        <w:rPr>
          <w:rFonts w:hint="eastAsia"/>
        </w:rPr>
        <w:t>，职称：副教授，工作单位：青岛理工大学，对本项目技术创造性贡献：（</w:t>
      </w:r>
      <w:r>
        <w:t>1</w:t>
      </w:r>
      <w:r>
        <w:rPr>
          <w:rFonts w:hint="eastAsia"/>
        </w:rPr>
        <w:t>）完成人对本项目创新栏中的第</w:t>
      </w:r>
      <w:r>
        <w:t xml:space="preserve">7 </w:t>
      </w:r>
      <w:r>
        <w:rPr>
          <w:rFonts w:hint="eastAsia"/>
        </w:rPr>
        <w:t>项做出了贡献。（</w:t>
      </w:r>
      <w:r>
        <w:t>2</w:t>
      </w:r>
      <w:r>
        <w:rPr>
          <w:rFonts w:hint="eastAsia"/>
        </w:rPr>
        <w:t>）参与完成了利用细沙作载体，制备微生物菌剂，实现引黄济青沉砂池泥沙的资源化利用，研究成果获</w:t>
      </w:r>
      <w:r>
        <w:t>2</w:t>
      </w:r>
      <w:r>
        <w:rPr>
          <w:rFonts w:hint="eastAsia"/>
        </w:rPr>
        <w:t>项授权国家专利（附件【</w:t>
      </w:r>
      <w:r>
        <w:t>1</w:t>
      </w:r>
      <w:r>
        <w:rPr>
          <w:rFonts w:hint="eastAsia"/>
        </w:rPr>
        <w:t>】、【</w:t>
      </w:r>
      <w:r>
        <w:t>2</w:t>
      </w:r>
      <w:r>
        <w:rPr>
          <w:rFonts w:hint="eastAsia"/>
        </w:rPr>
        <w:t>】、【</w:t>
      </w:r>
      <w:r>
        <w:t>6</w:t>
      </w:r>
      <w:r>
        <w:rPr>
          <w:rFonts w:hint="eastAsia"/>
        </w:rPr>
        <w:t>】）。（</w:t>
      </w:r>
      <w:r>
        <w:t>3</w:t>
      </w:r>
      <w:r>
        <w:rPr>
          <w:rFonts w:hint="eastAsia"/>
        </w:rPr>
        <w:t>）课题研究期间投入该项技术研究工作量占本人工作量的</w:t>
      </w:r>
      <w:r>
        <w:t>30%</w:t>
      </w:r>
      <w:r>
        <w:rPr>
          <w:rFonts w:hint="eastAsia"/>
        </w:rPr>
        <w:t>。</w:t>
      </w:r>
    </w:p>
    <w:p w:rsidR="00B114AA" w:rsidRDefault="00B114AA">
      <w:pPr>
        <w:autoSpaceDE w:val="0"/>
        <w:autoSpaceDN w:val="0"/>
        <w:adjustRightInd w:val="0"/>
        <w:jc w:val="left"/>
      </w:pPr>
    </w:p>
    <w:p w:rsidR="00B114AA" w:rsidRDefault="009D7314">
      <w:pPr>
        <w:autoSpaceDE w:val="0"/>
        <w:autoSpaceDN w:val="0"/>
        <w:adjustRightInd w:val="0"/>
        <w:jc w:val="left"/>
      </w:pPr>
      <w:r>
        <w:rPr>
          <w:rFonts w:hint="eastAsia"/>
        </w:rPr>
        <w:t xml:space="preserve">9. </w:t>
      </w:r>
      <w:r>
        <w:rPr>
          <w:rFonts w:hint="eastAsia"/>
        </w:rPr>
        <w:t>姓名：葛建华，排序：</w:t>
      </w:r>
      <w:r>
        <w:rPr>
          <w:rFonts w:hint="eastAsia"/>
        </w:rPr>
        <w:t>9/9</w:t>
      </w:r>
      <w:r>
        <w:rPr>
          <w:rFonts w:hint="eastAsia"/>
        </w:rPr>
        <w:t>，职称：高级工程师，工作单位：山东省胶东调水局青岛分局，对本项目技术创造性贡献：（</w:t>
      </w:r>
      <w:r>
        <w:t>1</w:t>
      </w:r>
      <w:r>
        <w:rPr>
          <w:rFonts w:hint="eastAsia"/>
        </w:rPr>
        <w:t>）完成人对本项目创新栏中的第</w:t>
      </w:r>
      <w:r>
        <w:t>1</w:t>
      </w:r>
      <w:r>
        <w:rPr>
          <w:rFonts w:hint="eastAsia"/>
        </w:rPr>
        <w:t>、</w:t>
      </w:r>
      <w:r>
        <w:t>3</w:t>
      </w:r>
      <w:r>
        <w:rPr>
          <w:rFonts w:hint="eastAsia"/>
        </w:rPr>
        <w:t>、</w:t>
      </w:r>
      <w:r>
        <w:t xml:space="preserve">6 </w:t>
      </w:r>
      <w:r>
        <w:rPr>
          <w:rFonts w:hint="eastAsia"/>
        </w:rPr>
        <w:t>项做出了贡献。</w:t>
      </w:r>
    </w:p>
    <w:p w:rsidR="00B114AA" w:rsidRDefault="009D7314">
      <w:pPr>
        <w:autoSpaceDE w:val="0"/>
        <w:autoSpaceDN w:val="0"/>
        <w:adjustRightInd w:val="0"/>
        <w:jc w:val="left"/>
      </w:pPr>
      <w:r>
        <w:rPr>
          <w:rFonts w:hint="eastAsia"/>
        </w:rPr>
        <w:t>（</w:t>
      </w:r>
      <w:r>
        <w:t>2</w:t>
      </w:r>
      <w:r>
        <w:rPr>
          <w:rFonts w:hint="eastAsia"/>
        </w:rPr>
        <w:t>）参与完成了引黄济青渠首水质变化情况以及调水沿程水质变化研究工作（附件【</w:t>
      </w:r>
      <w:r>
        <w:t>9-11</w:t>
      </w:r>
      <w:r>
        <w:rPr>
          <w:rFonts w:hint="eastAsia"/>
        </w:rPr>
        <w:t>】、【</w:t>
      </w:r>
      <w:r>
        <w:t>17-20</w:t>
      </w:r>
      <w:r>
        <w:rPr>
          <w:rFonts w:hint="eastAsia"/>
        </w:rPr>
        <w:t>】）。（</w:t>
      </w:r>
      <w:r>
        <w:t>3</w:t>
      </w:r>
      <w:r>
        <w:rPr>
          <w:rFonts w:hint="eastAsia"/>
        </w:rPr>
        <w:t>）参与了项目成果推广应用工作（【</w:t>
      </w:r>
      <w:r>
        <w:t>21-24</w:t>
      </w:r>
      <w:r>
        <w:rPr>
          <w:rFonts w:hint="eastAsia"/>
        </w:rPr>
        <w:t>】）。（</w:t>
      </w:r>
      <w:r>
        <w:t>4</w:t>
      </w:r>
      <w:r>
        <w:rPr>
          <w:rFonts w:hint="eastAsia"/>
        </w:rPr>
        <w:t>）课题研究期间投入该项技术研究工作量占本人工作量的</w:t>
      </w:r>
      <w:r>
        <w:t>30%</w:t>
      </w:r>
      <w:r>
        <w:rPr>
          <w:rFonts w:hint="eastAsia"/>
        </w:rPr>
        <w:t>。</w:t>
      </w:r>
    </w:p>
    <w:p w:rsidR="00B114AA" w:rsidRDefault="00B114AA">
      <w:pPr>
        <w:autoSpaceDE w:val="0"/>
        <w:autoSpaceDN w:val="0"/>
        <w:adjustRightInd w:val="0"/>
        <w:jc w:val="left"/>
      </w:pPr>
    </w:p>
    <w:p w:rsidR="00B114AA" w:rsidRDefault="009D7314">
      <w:r>
        <w:rPr>
          <w:rFonts w:hint="eastAsia"/>
        </w:rPr>
        <w:t>八、主要完成单位及创新推广贡献</w:t>
      </w:r>
    </w:p>
    <w:p w:rsidR="00B114AA" w:rsidRDefault="009D7314">
      <w:r>
        <w:rPr>
          <w:rFonts w:hint="eastAsia"/>
        </w:rPr>
        <w:t xml:space="preserve">1. </w:t>
      </w:r>
      <w:r>
        <w:rPr>
          <w:rFonts w:hint="eastAsia"/>
        </w:rPr>
        <w:t>青岛理工大学</w:t>
      </w:r>
    </w:p>
    <w:p w:rsidR="00B114AA" w:rsidRDefault="009D7314">
      <w:pPr>
        <w:autoSpaceDE w:val="0"/>
        <w:autoSpaceDN w:val="0"/>
        <w:adjustRightInd w:val="0"/>
        <w:jc w:val="left"/>
      </w:pPr>
      <w:r>
        <w:rPr>
          <w:rFonts w:hint="eastAsia"/>
        </w:rPr>
        <w:t>承担项目的立项、理论分析、数值模拟、试验研究和工程应用工作，主要贡献有：</w:t>
      </w:r>
    </w:p>
    <w:p w:rsidR="00B114AA" w:rsidRDefault="009D7314">
      <w:pPr>
        <w:autoSpaceDE w:val="0"/>
        <w:autoSpaceDN w:val="0"/>
        <w:adjustRightInd w:val="0"/>
        <w:jc w:val="left"/>
      </w:pPr>
      <w:r>
        <w:rPr>
          <w:rFonts w:hint="eastAsia"/>
        </w:rPr>
        <w:t>（</w:t>
      </w:r>
      <w:r>
        <w:t>1</w:t>
      </w:r>
      <w:r>
        <w:rPr>
          <w:rFonts w:hint="eastAsia"/>
        </w:rPr>
        <w:t>）平原水库水质特征分析，确定平原水库存在的主要问题；对水库水体富营养化现状进行评价。</w:t>
      </w:r>
    </w:p>
    <w:p w:rsidR="00B114AA" w:rsidRDefault="009D7314">
      <w:pPr>
        <w:autoSpaceDE w:val="0"/>
        <w:autoSpaceDN w:val="0"/>
        <w:adjustRightInd w:val="0"/>
        <w:jc w:val="left"/>
      </w:pPr>
      <w:r>
        <w:rPr>
          <w:rFonts w:hint="eastAsia"/>
        </w:rPr>
        <w:t>（</w:t>
      </w:r>
      <w:r>
        <w:t>2</w:t>
      </w:r>
      <w:r>
        <w:rPr>
          <w:rFonts w:hint="eastAsia"/>
        </w:rPr>
        <w:t>）优化了固相萃取</w:t>
      </w:r>
      <w:r>
        <w:t>-</w:t>
      </w:r>
      <w:r>
        <w:rPr>
          <w:rFonts w:hint="eastAsia"/>
        </w:rPr>
        <w:t>高效液相色谱法定量分析环境水样中</w:t>
      </w:r>
      <w:r>
        <w:t xml:space="preserve">MC-RR </w:t>
      </w:r>
      <w:r>
        <w:rPr>
          <w:rFonts w:hint="eastAsia"/>
        </w:rPr>
        <w:t>和</w:t>
      </w:r>
      <w:r>
        <w:t xml:space="preserve">MC-LR </w:t>
      </w:r>
      <w:r>
        <w:rPr>
          <w:rFonts w:hint="eastAsia"/>
        </w:rPr>
        <w:t>两种微囊藻毒素的方法。建立了液相微萃取</w:t>
      </w:r>
      <w:r>
        <w:t>-</w:t>
      </w:r>
      <w:r>
        <w:rPr>
          <w:rFonts w:hint="eastAsia"/>
        </w:rPr>
        <w:t>气相色谱</w:t>
      </w:r>
      <w:r>
        <w:t>-</w:t>
      </w:r>
      <w:r>
        <w:rPr>
          <w:rFonts w:hint="eastAsia"/>
        </w:rPr>
        <w:t>质谱法测定水中致嗅有机物土臭素（</w:t>
      </w:r>
      <w:r>
        <w:t>GSM</w:t>
      </w:r>
      <w:r>
        <w:rPr>
          <w:rFonts w:hint="eastAsia"/>
        </w:rPr>
        <w:t>）和</w:t>
      </w:r>
      <w:r>
        <w:t>2-</w:t>
      </w:r>
      <w:r>
        <w:rPr>
          <w:rFonts w:hint="eastAsia"/>
        </w:rPr>
        <w:t>甲基异冰片（</w:t>
      </w:r>
      <w:r>
        <w:t>MIB</w:t>
      </w:r>
      <w:r>
        <w:rPr>
          <w:rFonts w:hint="eastAsia"/>
        </w:rPr>
        <w:t>）含量的方法。并将上述方法应用于棘洪滩水库水体中微囊藻毒素和致嗅物质含量的检测。</w:t>
      </w:r>
    </w:p>
    <w:p w:rsidR="00B114AA" w:rsidRDefault="009D7314">
      <w:pPr>
        <w:autoSpaceDE w:val="0"/>
        <w:autoSpaceDN w:val="0"/>
        <w:adjustRightInd w:val="0"/>
        <w:jc w:val="left"/>
      </w:pPr>
      <w:r>
        <w:rPr>
          <w:rFonts w:hint="eastAsia"/>
        </w:rPr>
        <w:t>（</w:t>
      </w:r>
      <w:r>
        <w:t>3</w:t>
      </w:r>
      <w:r>
        <w:rPr>
          <w:rFonts w:hint="eastAsia"/>
        </w:rPr>
        <w:t>）针对平原水库水质特点，利用生态、物理和化学等多种技术方法，建立了预氧化混凝除藻、水生植物净化、前置库混凝除磷等平原水库富营养化防治技术。</w:t>
      </w:r>
    </w:p>
    <w:p w:rsidR="00B114AA" w:rsidRDefault="009D7314">
      <w:pPr>
        <w:autoSpaceDE w:val="0"/>
        <w:autoSpaceDN w:val="0"/>
        <w:adjustRightInd w:val="0"/>
        <w:jc w:val="left"/>
      </w:pPr>
      <w:r>
        <w:rPr>
          <w:rFonts w:hint="eastAsia"/>
        </w:rPr>
        <w:lastRenderedPageBreak/>
        <w:t>（</w:t>
      </w:r>
      <w:r>
        <w:t>4</w:t>
      </w:r>
      <w:r>
        <w:rPr>
          <w:rFonts w:hint="eastAsia"/>
        </w:rPr>
        <w:t>）以平原水库为研究对象，进行平原水库水文情势与调度运行的水动力学分析，研究平原水库调水期流场与非调水期风生流场的模拟，建立平原水库富营养化模型（总磷预算模型），为平原水库水质保护和可持续利用提供依据。</w:t>
      </w:r>
    </w:p>
    <w:p w:rsidR="00B114AA" w:rsidRDefault="009D7314">
      <w:pPr>
        <w:autoSpaceDE w:val="0"/>
        <w:autoSpaceDN w:val="0"/>
        <w:adjustRightInd w:val="0"/>
        <w:jc w:val="left"/>
      </w:pPr>
      <w:r>
        <w:rPr>
          <w:rFonts w:hint="eastAsia"/>
        </w:rPr>
        <w:t>（</w:t>
      </w:r>
      <w:r>
        <w:t>5</w:t>
      </w:r>
      <w:r>
        <w:rPr>
          <w:rFonts w:hint="eastAsia"/>
        </w:rPr>
        <w:t>）开展平原水库水质监测系统分析与监测点优化布置、平原水库富营养化预警模式等方面的研究。</w:t>
      </w:r>
    </w:p>
    <w:p w:rsidR="00B114AA" w:rsidRDefault="009D7314">
      <w:pPr>
        <w:autoSpaceDE w:val="0"/>
        <w:autoSpaceDN w:val="0"/>
        <w:adjustRightInd w:val="0"/>
        <w:jc w:val="left"/>
      </w:pPr>
      <w:r>
        <w:rPr>
          <w:rFonts w:hint="eastAsia"/>
        </w:rPr>
        <w:t>（</w:t>
      </w:r>
      <w:r>
        <w:t>6</w:t>
      </w:r>
      <w:r>
        <w:rPr>
          <w:rFonts w:hint="eastAsia"/>
        </w:rPr>
        <w:t>）对引黄济青渠首水质变化以及调水沿程水质变化进行研究，确定引黄济青调水对水库污染物的贡献，为多季节调水提供了依据。</w:t>
      </w:r>
    </w:p>
    <w:p w:rsidR="00B114AA" w:rsidRDefault="009D7314">
      <w:pPr>
        <w:autoSpaceDE w:val="0"/>
        <w:autoSpaceDN w:val="0"/>
        <w:adjustRightInd w:val="0"/>
        <w:jc w:val="left"/>
      </w:pPr>
      <w:r>
        <w:rPr>
          <w:rFonts w:hint="eastAsia"/>
        </w:rPr>
        <w:t>（</w:t>
      </w:r>
      <w:r>
        <w:t>7</w:t>
      </w:r>
      <w:r>
        <w:rPr>
          <w:rFonts w:hint="eastAsia"/>
        </w:rPr>
        <w:t>）建立一种黄河泥沙资源化方法，利用沙作为微生物载体，制备微生物菌剂，实现引黄济青沉砂池泥沙的资源化利用。</w:t>
      </w:r>
    </w:p>
    <w:p w:rsidR="00B114AA" w:rsidRDefault="009D7314">
      <w:pPr>
        <w:autoSpaceDE w:val="0"/>
        <w:autoSpaceDN w:val="0"/>
        <w:adjustRightInd w:val="0"/>
        <w:jc w:val="left"/>
      </w:pPr>
      <w:r>
        <w:rPr>
          <w:rFonts w:hint="eastAsia"/>
        </w:rPr>
        <w:t xml:space="preserve">2. </w:t>
      </w:r>
      <w:r>
        <w:rPr>
          <w:rFonts w:hint="eastAsia"/>
        </w:rPr>
        <w:t>山东省胶东调水局青岛分局</w:t>
      </w:r>
    </w:p>
    <w:p w:rsidR="00B114AA" w:rsidRDefault="009D7314">
      <w:pPr>
        <w:autoSpaceDE w:val="0"/>
        <w:autoSpaceDN w:val="0"/>
        <w:adjustRightInd w:val="0"/>
        <w:jc w:val="left"/>
      </w:pPr>
      <w:r>
        <w:rPr>
          <w:rFonts w:hint="eastAsia"/>
        </w:rPr>
        <w:t>承担项目总体策划、组织实施、技术路线和研究方案制定，成果推广应用工作，主要贡献有：</w:t>
      </w:r>
    </w:p>
    <w:p w:rsidR="00B114AA" w:rsidRDefault="009D7314">
      <w:pPr>
        <w:autoSpaceDE w:val="0"/>
        <w:autoSpaceDN w:val="0"/>
        <w:adjustRightInd w:val="0"/>
        <w:jc w:val="left"/>
      </w:pPr>
      <w:r>
        <w:rPr>
          <w:rFonts w:hint="eastAsia"/>
        </w:rPr>
        <w:t>（</w:t>
      </w:r>
      <w:r>
        <w:t>1</w:t>
      </w:r>
      <w:r>
        <w:rPr>
          <w:rFonts w:hint="eastAsia"/>
        </w:rPr>
        <w:t>）平原水库不同采样点的物理因子特性，营养盐分布规律；水库水质、底泥状况；浮游植物与浮游动物的种类组成、丰度、关键种及多样性。</w:t>
      </w:r>
    </w:p>
    <w:p w:rsidR="00B114AA" w:rsidRDefault="009D7314">
      <w:pPr>
        <w:autoSpaceDE w:val="0"/>
        <w:autoSpaceDN w:val="0"/>
        <w:adjustRightInd w:val="0"/>
        <w:jc w:val="left"/>
      </w:pPr>
      <w:r>
        <w:rPr>
          <w:rFonts w:hint="eastAsia"/>
        </w:rPr>
        <w:t>（</w:t>
      </w:r>
      <w:r>
        <w:t>2</w:t>
      </w:r>
      <w:r>
        <w:rPr>
          <w:rFonts w:hint="eastAsia"/>
        </w:rPr>
        <w:t>）滤食性鱼类控制平原水库富营养化防治技术的试验及应用。</w:t>
      </w:r>
    </w:p>
    <w:p w:rsidR="00B114AA" w:rsidRDefault="009D7314">
      <w:pPr>
        <w:autoSpaceDE w:val="0"/>
        <w:autoSpaceDN w:val="0"/>
        <w:adjustRightInd w:val="0"/>
        <w:jc w:val="left"/>
      </w:pPr>
      <w:r>
        <w:rPr>
          <w:rFonts w:hint="eastAsia"/>
        </w:rPr>
        <w:t>（</w:t>
      </w:r>
      <w:r>
        <w:t>3</w:t>
      </w:r>
      <w:r>
        <w:rPr>
          <w:rFonts w:hint="eastAsia"/>
        </w:rPr>
        <w:t>）对引黄济青渠首水质变化以及调水沿程水质变化进行研究，确定引黄济青调水对水库污染物的贡献，为多季节调水提供了依据。</w:t>
      </w:r>
    </w:p>
    <w:p w:rsidR="00B114AA" w:rsidRDefault="009D7314">
      <w:pPr>
        <w:autoSpaceDE w:val="0"/>
        <w:autoSpaceDN w:val="0"/>
        <w:adjustRightInd w:val="0"/>
        <w:jc w:val="left"/>
      </w:pPr>
      <w:r>
        <w:rPr>
          <w:rFonts w:hint="eastAsia"/>
        </w:rPr>
        <w:t>（</w:t>
      </w:r>
      <w:r>
        <w:t>4</w:t>
      </w:r>
      <w:r>
        <w:rPr>
          <w:rFonts w:hint="eastAsia"/>
        </w:rPr>
        <w:t>）结合本项目研究与青岛棘洪滩水库、东营南郊水库、淄博新城水库等单位合作，进行现场试验，解决了许多关键问题，实现了技术成果的转化应用。</w:t>
      </w:r>
    </w:p>
    <w:p w:rsidR="00B114AA" w:rsidRDefault="00B114AA">
      <w:pPr>
        <w:autoSpaceDE w:val="0"/>
        <w:autoSpaceDN w:val="0"/>
        <w:adjustRightInd w:val="0"/>
        <w:jc w:val="left"/>
      </w:pPr>
    </w:p>
    <w:p w:rsidR="00B114AA" w:rsidRDefault="009D7314">
      <w:r>
        <w:rPr>
          <w:rFonts w:hint="eastAsia"/>
        </w:rPr>
        <w:t>九、完成人合作关系说明。</w:t>
      </w:r>
    </w:p>
    <w:p w:rsidR="00B114AA" w:rsidRDefault="009D7314" w:rsidP="00D857AD">
      <w:pPr>
        <w:spacing w:beforeLines="50" w:afterLines="50"/>
        <w:ind w:firstLineChars="200" w:firstLine="420"/>
      </w:pPr>
      <w:r>
        <w:t>2009</w:t>
      </w:r>
      <w:r>
        <w:rPr>
          <w:rFonts w:hint="eastAsia"/>
        </w:rPr>
        <w:t>年由山东省胶东调水局作为项目承担单位，青岛理工大学和山东省引黄济青工程棘洪滩水库管理处作为项目协作单位共同申报的水利部公益性行业专项“平原水库富营养化防治关键技术研究（项目编号：</w:t>
      </w:r>
      <w:r>
        <w:t>200901063</w:t>
      </w:r>
      <w:r>
        <w:rPr>
          <w:rFonts w:hint="eastAsia"/>
        </w:rPr>
        <w:t>，起止时间：</w:t>
      </w:r>
      <w:r>
        <w:t>2009.09-2012.09</w:t>
      </w:r>
      <w:r>
        <w:rPr>
          <w:rFonts w:hint="eastAsia"/>
        </w:rPr>
        <w:t>）”获批立项（附件【</w:t>
      </w:r>
      <w:r>
        <w:rPr>
          <w:rFonts w:hint="eastAsia"/>
        </w:rPr>
        <w:t>28-30</w:t>
      </w:r>
      <w:r>
        <w:rPr>
          <w:rFonts w:hint="eastAsia"/>
        </w:rPr>
        <w:t>】），经过两年多的合作研究，</w:t>
      </w:r>
      <w:r>
        <w:t xml:space="preserve">2013 </w:t>
      </w:r>
      <w:r>
        <w:rPr>
          <w:rFonts w:hint="eastAsia"/>
        </w:rPr>
        <w:t>年</w:t>
      </w:r>
      <w:r>
        <w:t xml:space="preserve">9 </w:t>
      </w:r>
      <w:r>
        <w:rPr>
          <w:rFonts w:hint="eastAsia"/>
        </w:rPr>
        <w:t>月</w:t>
      </w:r>
      <w:r>
        <w:t xml:space="preserve">10 </w:t>
      </w:r>
      <w:r>
        <w:rPr>
          <w:rFonts w:hint="eastAsia"/>
        </w:rPr>
        <w:t>日，水利部国际合作与科技司在北京主持召开项目验收会，验收专家组形成验收意见认为：该项目全面完成任务书规定的工作内容，研究成果丰富，达到了预期目标，同意通过验收（附件【</w:t>
      </w:r>
      <w:r>
        <w:rPr>
          <w:rFonts w:hint="eastAsia"/>
        </w:rPr>
        <w:t>17</w:t>
      </w:r>
      <w:r>
        <w:rPr>
          <w:rFonts w:hint="eastAsia"/>
        </w:rPr>
        <w:t>】、【</w:t>
      </w:r>
      <w:r>
        <w:rPr>
          <w:rFonts w:hint="eastAsia"/>
        </w:rPr>
        <w:t>18</w:t>
      </w:r>
      <w:r>
        <w:rPr>
          <w:rFonts w:hint="eastAsia"/>
        </w:rPr>
        <w:t>】）。</w:t>
      </w:r>
    </w:p>
    <w:p w:rsidR="00B114AA" w:rsidRDefault="009D7314" w:rsidP="00D857AD">
      <w:pPr>
        <w:spacing w:beforeLines="50" w:afterLines="50"/>
        <w:ind w:firstLineChars="200" w:firstLine="420"/>
      </w:pPr>
      <w:r>
        <w:rPr>
          <w:rFonts w:hint="eastAsia"/>
        </w:rPr>
        <w:t>在该项目前期调研、申请立项、试验研究、推广应用、项目验收等过程中，项目完成人山东省胶东调水局青岛分局吴裕德、孙辉、葛建华和青岛理工大学宋志文、武周虎、马继平、吕谋、李捷、周利为项目主要完成人在项目完成过程中密切合作、分工明确，合作完成多篇学术论文。</w:t>
      </w:r>
    </w:p>
    <w:p w:rsidR="00B114AA" w:rsidRDefault="009D7314" w:rsidP="00D857AD">
      <w:pPr>
        <w:pStyle w:val="1"/>
        <w:spacing w:beforeLines="50" w:afterLines="50"/>
        <w:ind w:left="560" w:firstLineChars="0" w:firstLine="0"/>
      </w:pPr>
      <w:r>
        <w:rPr>
          <w:rFonts w:hint="eastAsia"/>
        </w:rPr>
        <w:t>（</w:t>
      </w:r>
      <w:r>
        <w:t>1</w:t>
      </w:r>
      <w:r>
        <w:rPr>
          <w:rFonts w:hint="eastAsia"/>
        </w:rPr>
        <w:t>）马继平、葛建华、宋志文、李捷合作发表论文（附件【</w:t>
      </w:r>
      <w:r>
        <w:rPr>
          <w:rFonts w:hint="eastAsia"/>
        </w:rPr>
        <w:t>9</w:t>
      </w:r>
      <w:r>
        <w:rPr>
          <w:rFonts w:hint="eastAsia"/>
        </w:rPr>
        <w:t>】）</w:t>
      </w:r>
    </w:p>
    <w:p w:rsidR="00B114AA" w:rsidRDefault="009D7314" w:rsidP="00D857AD">
      <w:pPr>
        <w:pStyle w:val="1"/>
        <w:spacing w:beforeLines="50" w:afterLines="50"/>
        <w:ind w:left="560" w:firstLineChars="0" w:firstLine="0"/>
      </w:pPr>
      <w:r>
        <w:rPr>
          <w:rFonts w:hint="eastAsia"/>
        </w:rPr>
        <w:t>（</w:t>
      </w:r>
      <w:r>
        <w:t>2</w:t>
      </w:r>
      <w:r>
        <w:rPr>
          <w:rFonts w:hint="eastAsia"/>
        </w:rPr>
        <w:t>）宋志文、葛建华、吴裕德、周利合作发表论文（附件【</w:t>
      </w:r>
      <w:r>
        <w:rPr>
          <w:rFonts w:hint="eastAsia"/>
        </w:rPr>
        <w:t>10</w:t>
      </w:r>
      <w:r>
        <w:rPr>
          <w:rFonts w:hint="eastAsia"/>
        </w:rPr>
        <w:t>】）</w:t>
      </w:r>
    </w:p>
    <w:p w:rsidR="00B114AA" w:rsidRDefault="009D7314" w:rsidP="00D857AD">
      <w:pPr>
        <w:pStyle w:val="1"/>
        <w:spacing w:beforeLines="50" w:afterLines="50"/>
        <w:ind w:left="560" w:firstLineChars="0" w:firstLine="0"/>
      </w:pPr>
      <w:r>
        <w:rPr>
          <w:rFonts w:hint="eastAsia"/>
        </w:rPr>
        <w:t>（</w:t>
      </w:r>
      <w:r>
        <w:t>3</w:t>
      </w:r>
      <w:r>
        <w:rPr>
          <w:rFonts w:hint="eastAsia"/>
        </w:rPr>
        <w:t>）宋志文、葛建华合作发表论文（附件【</w:t>
      </w:r>
      <w:r>
        <w:t>1</w:t>
      </w:r>
      <w:r>
        <w:rPr>
          <w:rFonts w:hint="eastAsia"/>
        </w:rPr>
        <w:t>1</w:t>
      </w:r>
      <w:r>
        <w:rPr>
          <w:rFonts w:hint="eastAsia"/>
        </w:rPr>
        <w:t>】）</w:t>
      </w:r>
    </w:p>
    <w:p w:rsidR="00B114AA" w:rsidRDefault="009D7314" w:rsidP="00D857AD">
      <w:pPr>
        <w:pStyle w:val="1"/>
        <w:spacing w:beforeLines="50" w:afterLines="50"/>
        <w:ind w:left="560" w:firstLineChars="0" w:firstLine="0"/>
      </w:pPr>
      <w:r>
        <w:rPr>
          <w:rFonts w:hint="eastAsia"/>
        </w:rPr>
        <w:t>（</w:t>
      </w:r>
      <w:r>
        <w:t>4</w:t>
      </w:r>
      <w:r>
        <w:rPr>
          <w:rFonts w:hint="eastAsia"/>
        </w:rPr>
        <w:t>）武周虎</w:t>
      </w:r>
      <w:r>
        <w:t xml:space="preserve"> </w:t>
      </w:r>
      <w:r>
        <w:rPr>
          <w:rFonts w:hint="eastAsia"/>
        </w:rPr>
        <w:t>、孙辉合作发表论文（附件【</w:t>
      </w:r>
      <w:r>
        <w:t>1</w:t>
      </w:r>
      <w:r>
        <w:rPr>
          <w:rFonts w:hint="eastAsia"/>
        </w:rPr>
        <w:t>4</w:t>
      </w:r>
      <w:r>
        <w:rPr>
          <w:rFonts w:hint="eastAsia"/>
        </w:rPr>
        <w:t>】）</w:t>
      </w:r>
    </w:p>
    <w:p w:rsidR="00B114AA" w:rsidRDefault="00B114AA">
      <w:pPr>
        <w:ind w:firstLine="420"/>
      </w:pPr>
      <w:bookmarkStart w:id="0" w:name="_GoBack"/>
      <w:bookmarkEnd w:id="0"/>
    </w:p>
    <w:sectPr w:rsidR="00B114AA" w:rsidSect="00B11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04" w:rsidRDefault="00A07204" w:rsidP="00B114AA">
      <w:r>
        <w:separator/>
      </w:r>
    </w:p>
  </w:endnote>
  <w:endnote w:type="continuationSeparator" w:id="0">
    <w:p w:rsidR="00A07204" w:rsidRDefault="00A07204" w:rsidP="00B1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WinCharSetFFFF-H">
    <w:altName w:val="宋体"/>
    <w:charset w:val="86"/>
    <w:family w:val="auto"/>
    <w:pitch w:val="default"/>
    <w:sig w:usb0="00000000" w:usb1="00000000" w:usb2="00000010" w:usb3="00000000" w:csb0="00040000" w:csb1="00000000"/>
  </w:font>
  <w:font w:name="黑体-WinCharSetFFFF-H">
    <w:altName w:val="黑体"/>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04" w:rsidRDefault="00A07204" w:rsidP="00B114AA">
      <w:r>
        <w:separator/>
      </w:r>
    </w:p>
  </w:footnote>
  <w:footnote w:type="continuationSeparator" w:id="0">
    <w:p w:rsidR="00A07204" w:rsidRDefault="00A07204" w:rsidP="00B11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3FF3"/>
    <w:multiLevelType w:val="hybridMultilevel"/>
    <w:tmpl w:val="0BDEC992"/>
    <w:lvl w:ilvl="0" w:tplc="89F4BE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D34"/>
    <w:rsid w:val="00051FF1"/>
    <w:rsid w:val="0006466C"/>
    <w:rsid w:val="000E17D8"/>
    <w:rsid w:val="00120B23"/>
    <w:rsid w:val="00170B67"/>
    <w:rsid w:val="00173628"/>
    <w:rsid w:val="001A5C3D"/>
    <w:rsid w:val="001D0211"/>
    <w:rsid w:val="001F4D9D"/>
    <w:rsid w:val="00202C98"/>
    <w:rsid w:val="00226D98"/>
    <w:rsid w:val="00232ED4"/>
    <w:rsid w:val="00237B2E"/>
    <w:rsid w:val="00247E22"/>
    <w:rsid w:val="002549C4"/>
    <w:rsid w:val="002E24C6"/>
    <w:rsid w:val="003026B7"/>
    <w:rsid w:val="00342496"/>
    <w:rsid w:val="0034391D"/>
    <w:rsid w:val="003815F4"/>
    <w:rsid w:val="00384FEC"/>
    <w:rsid w:val="00387036"/>
    <w:rsid w:val="003931C2"/>
    <w:rsid w:val="003B6D82"/>
    <w:rsid w:val="003F0AC5"/>
    <w:rsid w:val="003F0D24"/>
    <w:rsid w:val="00401D35"/>
    <w:rsid w:val="00427416"/>
    <w:rsid w:val="00431FEB"/>
    <w:rsid w:val="0044425A"/>
    <w:rsid w:val="00445BB6"/>
    <w:rsid w:val="00464D5D"/>
    <w:rsid w:val="00473308"/>
    <w:rsid w:val="00511D95"/>
    <w:rsid w:val="005126F4"/>
    <w:rsid w:val="00531D18"/>
    <w:rsid w:val="005534BC"/>
    <w:rsid w:val="00563A6A"/>
    <w:rsid w:val="00564722"/>
    <w:rsid w:val="00565736"/>
    <w:rsid w:val="00574184"/>
    <w:rsid w:val="005B2E96"/>
    <w:rsid w:val="005B36EF"/>
    <w:rsid w:val="005C40DC"/>
    <w:rsid w:val="005F2A05"/>
    <w:rsid w:val="00623EA2"/>
    <w:rsid w:val="00632D5E"/>
    <w:rsid w:val="00645E88"/>
    <w:rsid w:val="00646FBF"/>
    <w:rsid w:val="006D3B07"/>
    <w:rsid w:val="006D50CD"/>
    <w:rsid w:val="007056F7"/>
    <w:rsid w:val="0071550B"/>
    <w:rsid w:val="00735A4D"/>
    <w:rsid w:val="00750348"/>
    <w:rsid w:val="00785030"/>
    <w:rsid w:val="00797FD1"/>
    <w:rsid w:val="007D479E"/>
    <w:rsid w:val="00800FE1"/>
    <w:rsid w:val="008337CF"/>
    <w:rsid w:val="0084155A"/>
    <w:rsid w:val="008B2B91"/>
    <w:rsid w:val="008C0632"/>
    <w:rsid w:val="008C3434"/>
    <w:rsid w:val="00903488"/>
    <w:rsid w:val="009059EF"/>
    <w:rsid w:val="00936F9D"/>
    <w:rsid w:val="00937F16"/>
    <w:rsid w:val="0096472F"/>
    <w:rsid w:val="009B2DEB"/>
    <w:rsid w:val="009D6F58"/>
    <w:rsid w:val="009D7314"/>
    <w:rsid w:val="009E6490"/>
    <w:rsid w:val="00A07204"/>
    <w:rsid w:val="00A10760"/>
    <w:rsid w:val="00A21864"/>
    <w:rsid w:val="00A6736A"/>
    <w:rsid w:val="00A80657"/>
    <w:rsid w:val="00A84815"/>
    <w:rsid w:val="00A85E5C"/>
    <w:rsid w:val="00A91496"/>
    <w:rsid w:val="00AA49BB"/>
    <w:rsid w:val="00AA4C34"/>
    <w:rsid w:val="00AF3276"/>
    <w:rsid w:val="00AF5B71"/>
    <w:rsid w:val="00B114AA"/>
    <w:rsid w:val="00B215A9"/>
    <w:rsid w:val="00B53938"/>
    <w:rsid w:val="00BB1EA0"/>
    <w:rsid w:val="00C10CA6"/>
    <w:rsid w:val="00C2512D"/>
    <w:rsid w:val="00C443B3"/>
    <w:rsid w:val="00C520FB"/>
    <w:rsid w:val="00C63BD5"/>
    <w:rsid w:val="00C80C97"/>
    <w:rsid w:val="00C8245B"/>
    <w:rsid w:val="00C85D6D"/>
    <w:rsid w:val="00CA00A5"/>
    <w:rsid w:val="00CF011E"/>
    <w:rsid w:val="00D0188E"/>
    <w:rsid w:val="00D15126"/>
    <w:rsid w:val="00D305C0"/>
    <w:rsid w:val="00D4302A"/>
    <w:rsid w:val="00D72485"/>
    <w:rsid w:val="00D857AD"/>
    <w:rsid w:val="00D93D06"/>
    <w:rsid w:val="00DC0CC5"/>
    <w:rsid w:val="00DC69F5"/>
    <w:rsid w:val="00DF3B5A"/>
    <w:rsid w:val="00E22062"/>
    <w:rsid w:val="00E31CE8"/>
    <w:rsid w:val="00E335F3"/>
    <w:rsid w:val="00E707EA"/>
    <w:rsid w:val="00E815DC"/>
    <w:rsid w:val="00E97286"/>
    <w:rsid w:val="00EA5C9A"/>
    <w:rsid w:val="00EC5D0A"/>
    <w:rsid w:val="00EC67CC"/>
    <w:rsid w:val="00ED33BA"/>
    <w:rsid w:val="00EE2527"/>
    <w:rsid w:val="00F051D9"/>
    <w:rsid w:val="00F4676D"/>
    <w:rsid w:val="00F51207"/>
    <w:rsid w:val="00F534B5"/>
    <w:rsid w:val="00F94D34"/>
    <w:rsid w:val="00FC15A2"/>
    <w:rsid w:val="09EA187B"/>
    <w:rsid w:val="20CD3EFF"/>
    <w:rsid w:val="71D26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4AA"/>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B114AA"/>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114A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114A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B114AA"/>
    <w:pPr>
      <w:spacing w:before="240" w:after="60"/>
      <w:jc w:val="center"/>
      <w:outlineLvl w:val="0"/>
    </w:pPr>
    <w:rPr>
      <w:rFonts w:asciiTheme="majorHAnsi" w:hAnsiTheme="majorHAnsi" w:cstheme="majorBidi"/>
      <w:b/>
      <w:bCs/>
      <w:sz w:val="32"/>
      <w:szCs w:val="32"/>
    </w:rPr>
  </w:style>
  <w:style w:type="table" w:styleId="a6">
    <w:name w:val="Table Grid"/>
    <w:basedOn w:val="a1"/>
    <w:uiPriority w:val="59"/>
    <w:qFormat/>
    <w:rsid w:val="00B1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B114AA"/>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sid w:val="00B114AA"/>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Char">
    <w:name w:val="标题 2 Char"/>
    <w:basedOn w:val="a0"/>
    <w:link w:val="2"/>
    <w:rsid w:val="00B114AA"/>
    <w:rPr>
      <w:rFonts w:ascii="Arial" w:eastAsia="黑体" w:hAnsi="Arial" w:cs="Times New Roman"/>
      <w:sz w:val="32"/>
      <w:szCs w:val="32"/>
    </w:rPr>
  </w:style>
  <w:style w:type="character" w:customStyle="1" w:styleId="Char1">
    <w:name w:val="标题 Char"/>
    <w:basedOn w:val="a0"/>
    <w:link w:val="a5"/>
    <w:uiPriority w:val="10"/>
    <w:qFormat/>
    <w:rsid w:val="00B114AA"/>
    <w:rPr>
      <w:rFonts w:asciiTheme="majorHAnsi" w:eastAsia="宋体" w:hAnsiTheme="majorHAnsi" w:cstheme="majorBidi"/>
      <w:b/>
      <w:bCs/>
      <w:sz w:val="32"/>
      <w:szCs w:val="32"/>
    </w:rPr>
  </w:style>
  <w:style w:type="paragraph" w:customStyle="1" w:styleId="1">
    <w:name w:val="列出段落1"/>
    <w:basedOn w:val="a"/>
    <w:uiPriority w:val="99"/>
    <w:qFormat/>
    <w:rsid w:val="00B114AA"/>
    <w:pPr>
      <w:ind w:firstLineChars="200" w:firstLine="420"/>
    </w:pPr>
  </w:style>
  <w:style w:type="character" w:customStyle="1" w:styleId="Char0">
    <w:name w:val="页眉 Char"/>
    <w:basedOn w:val="a0"/>
    <w:link w:val="a4"/>
    <w:uiPriority w:val="99"/>
    <w:rsid w:val="00B114AA"/>
    <w:rPr>
      <w:rFonts w:ascii="Times New Roman" w:eastAsia="宋体" w:hAnsi="Times New Roman" w:cs="Times New Roman"/>
      <w:sz w:val="18"/>
      <w:szCs w:val="18"/>
    </w:rPr>
  </w:style>
  <w:style w:type="character" w:customStyle="1" w:styleId="Char">
    <w:name w:val="页脚 Char"/>
    <w:basedOn w:val="a0"/>
    <w:link w:val="a3"/>
    <w:uiPriority w:val="99"/>
    <w:rsid w:val="00B114AA"/>
    <w:rPr>
      <w:rFonts w:ascii="Times New Roman" w:eastAsia="宋体" w:hAnsi="Times New Roman" w:cs="Times New Roman"/>
      <w:sz w:val="18"/>
      <w:szCs w:val="18"/>
    </w:rPr>
  </w:style>
  <w:style w:type="paragraph" w:styleId="a8">
    <w:name w:val="List Paragraph"/>
    <w:basedOn w:val="a"/>
    <w:uiPriority w:val="99"/>
    <w:unhideWhenUsed/>
    <w:rsid w:val="00D857A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AFBD8-7857-4CEE-B03F-8CA2916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2016-06-03T03:33:00Z</dcterms:created>
  <dcterms:modified xsi:type="dcterms:W3CDTF">2016-06-12T07:34:00Z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