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C0B7" w14:textId="77777777" w:rsidR="00B544FB" w:rsidRPr="00B544FB" w:rsidRDefault="00B544FB" w:rsidP="00B544FB">
      <w:pPr>
        <w:widowControl/>
        <w:shd w:val="clear" w:color="auto" w:fill="FFFFFF"/>
        <w:spacing w:line="600" w:lineRule="atLeast"/>
        <w:jc w:val="center"/>
        <w:rPr>
          <w:rFonts w:ascii="微软雅黑" w:eastAsia="微软雅黑" w:hAnsi="微软雅黑" w:cs="宋体"/>
          <w:color w:val="333333"/>
          <w:kern w:val="0"/>
          <w:sz w:val="18"/>
          <w:szCs w:val="18"/>
        </w:rPr>
      </w:pPr>
      <w:r w:rsidRPr="00B544FB">
        <w:rPr>
          <w:rFonts w:ascii="微软雅黑" w:eastAsia="微软雅黑" w:hAnsi="微软雅黑" w:cs="宋体" w:hint="eastAsia"/>
          <w:color w:val="045BB8"/>
          <w:kern w:val="0"/>
          <w:sz w:val="33"/>
          <w:szCs w:val="33"/>
        </w:rPr>
        <w:t>中国钢结构协会“科学技术奖”评选管理规定</w:t>
      </w:r>
    </w:p>
    <w:p w14:paraId="029E719F"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第一章 总则</w:t>
      </w:r>
    </w:p>
    <w:p w14:paraId="1379945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第一条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为了鼓励企业、科研院所、大专院校以及社会各界对钢结构领域的科技投入，增强钢结构行业的整体科技水平，奖励在推动我国钢结构领域科学技术进步中做出突出贡献的组织和个人，充分调动广大科技人员的积极性和创造性，加快科学技术成果向生产力的转化，提高技术创新能力，根据《国家科学技术奖励条例》和《社会力量设立科学技术奖管理办法》的有关规定，制定本规定。</w:t>
      </w:r>
    </w:p>
    <w:p w14:paraId="3A3B99B5"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中国钢结构协会（以下简称“协会”）科学技术奖的奖励工作，贯彻尊重知识、尊重人才的方针，奖项评选工作坚持公开、公正、公平的原则。</w:t>
      </w:r>
    </w:p>
    <w:p w14:paraId="1B847AAA"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第三条</w:t>
      </w:r>
      <w:bookmarkStart w:id="0" w:name="_Hlk528102867"/>
      <w:bookmarkEnd w:id="0"/>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本规定属于协会制度体系中的第二层级，上级制度为《中国钢结构协会科学技术奖励管理办法》，适用于总会秘书处和各分支机构秘书处。</w:t>
      </w:r>
    </w:p>
    <w:p w14:paraId="4462914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第四条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本规定主要应对以下可能存在的风险：</w:t>
      </w:r>
    </w:p>
    <w:p w14:paraId="146CB34E"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协会科学技术奖定位不明确，职责不清晰，各项管理工作不规范，有可能带来的法律风险。</w:t>
      </w:r>
    </w:p>
    <w:p w14:paraId="29276EA2"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第五条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协会科学技术奖每年评选一次。</w:t>
      </w:r>
    </w:p>
    <w:p w14:paraId="68CC18A3"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第二章 评选范围</w:t>
      </w:r>
    </w:p>
    <w:p w14:paraId="78DA129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第六条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本规定的评选范围包括：钢结构领域的工程建设项目（设计、制作、安装、管理等）和科技研发的新技术、新工艺、新材料、新产品及基础理论方面所取得的研究成果；推广、应用、集成已有的先进科技成果；消化吸收、引进国外先进技术进行技术再创新的科学技术成果。</w:t>
      </w:r>
    </w:p>
    <w:p w14:paraId="6108CC0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第七条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下列情况不列入评选范围：</w:t>
      </w:r>
    </w:p>
    <w:p w14:paraId="29871A68"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（一）已经获得国家技术发明奖、自然科学奖、科学技术进步奖和省（直辖市）、自治区和国务院其它部委科学技术进步奖的项目（含已获其他社会力量设奖机构科学技术奖项目）的成果；</w:t>
      </w:r>
    </w:p>
    <w:p w14:paraId="3F0CCBA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（二）同一成果同时推荐本奖项和其它同类奖项；</w:t>
      </w:r>
    </w:p>
    <w:p w14:paraId="68EE285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（三）成果未经科技成果验收、评价或评审的（会议</w:t>
      </w:r>
      <w:proofErr w:type="gramStart"/>
      <w:r w:rsidRPr="00B544FB">
        <w:rPr>
          <w:rFonts w:ascii="仿宋" w:eastAsia="仿宋" w:hAnsi="仿宋" w:cs="宋体" w:hint="eastAsia"/>
          <w:color w:val="666666"/>
          <w:kern w:val="0"/>
          <w:sz w:val="24"/>
          <w:szCs w:val="24"/>
        </w:rPr>
        <w:t>或函评</w:t>
      </w:r>
      <w:proofErr w:type="gramEnd"/>
      <w:r w:rsidRPr="00B544FB">
        <w:rPr>
          <w:rFonts w:ascii="仿宋" w:eastAsia="仿宋" w:hAnsi="仿宋" w:cs="宋体" w:hint="eastAsia"/>
          <w:color w:val="666666"/>
          <w:kern w:val="0"/>
          <w:sz w:val="24"/>
          <w:szCs w:val="24"/>
        </w:rPr>
        <w:t xml:space="preserve">）； </w:t>
      </w:r>
      <w:r w:rsidRPr="00B544FB">
        <w:rPr>
          <w:rFonts w:ascii="Calibri" w:eastAsia="仿宋" w:hAnsi="Calibri" w:cs="Calibri"/>
          <w:color w:val="666666"/>
          <w:kern w:val="0"/>
          <w:sz w:val="24"/>
          <w:szCs w:val="24"/>
        </w:rPr>
        <w:t> </w:t>
      </w:r>
    </w:p>
    <w:p w14:paraId="138DE3C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（四）《科技奖申报书》及其附件不全或不按要求填写，超过推荐截止日期；</w:t>
      </w:r>
    </w:p>
    <w:p w14:paraId="4567104C"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lastRenderedPageBreak/>
        <w:t>（五）不符合本奖项评选范围和相关条件。</w:t>
      </w:r>
    </w:p>
    <w:p w14:paraId="1DE8FB65"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第三章 申报条件</w:t>
      </w:r>
    </w:p>
    <w:p w14:paraId="0E01059F"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第八条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申报科学技术奖应具备以下条件：</w:t>
      </w:r>
    </w:p>
    <w:p w14:paraId="58415384"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凡通过省（部、行业）、自治区、直辖市级、协会专家委员会及各个专业分会组织的科技成果评价（会议</w:t>
      </w:r>
      <w:proofErr w:type="gramStart"/>
      <w:r w:rsidRPr="00B544FB">
        <w:rPr>
          <w:rFonts w:ascii="仿宋" w:eastAsia="仿宋" w:hAnsi="仿宋" w:cs="宋体" w:hint="eastAsia"/>
          <w:color w:val="666666"/>
          <w:kern w:val="0"/>
          <w:sz w:val="24"/>
          <w:szCs w:val="24"/>
        </w:rPr>
        <w:t>或函评均</w:t>
      </w:r>
      <w:proofErr w:type="gramEnd"/>
      <w:r w:rsidRPr="00B544FB">
        <w:rPr>
          <w:rFonts w:ascii="仿宋" w:eastAsia="仿宋" w:hAnsi="仿宋" w:cs="宋体" w:hint="eastAsia"/>
          <w:color w:val="666666"/>
          <w:kern w:val="0"/>
          <w:sz w:val="24"/>
          <w:szCs w:val="24"/>
        </w:rPr>
        <w:t>可），且应用于实践一年以上的，并符合下列条件之一的均可申报科学技术奖：</w:t>
      </w:r>
    </w:p>
    <w:p w14:paraId="5D2DD5FA"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（一）申报的项目具有技术上重要创新，其推广应用能增加行业的技术含量，能解决行业发展中的热点、难点和关键问题，对行业发展产生积极影响，总体技术水平达到国内钢结构行业领先水平；</w:t>
      </w:r>
    </w:p>
    <w:p w14:paraId="4276CEA8"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（二）研究开发的技术创新技术成果（新技术、新工艺、新材料、新产品、基础理论研究及重大技术改造），技术先进、经济效益和社会效益显著的；</w:t>
      </w:r>
    </w:p>
    <w:p w14:paraId="62E2E004"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（三）在推广、应用已有的先进技术创新成果过程中，对解决关键技术、技术难点做出创造性贡献，从而使该项成果顺利实施，并取得显著经济效益和社会效益的；</w:t>
      </w:r>
    </w:p>
    <w:p w14:paraId="34B8E34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（四）引进国外的先进技术或设备，经过消化、吸收，在国产化方面有所创新和发展，并已投入批量生产和运营，取得显著经济效益和社会效益的。</w:t>
      </w:r>
    </w:p>
    <w:p w14:paraId="33F2FA5F"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第九条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申报科学技术奖 ，必须按规定填写《科技奖申报书》，并附下列附件：</w:t>
      </w:r>
    </w:p>
    <w:p w14:paraId="0B7BEC7A"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（一）科学技术总结报告（包括主要技术思路形成、研发情况的概述或试验报告）；</w:t>
      </w:r>
    </w:p>
    <w:p w14:paraId="2C2BAF4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（二）技术创新成果评价、评审、专利证书（会议</w:t>
      </w:r>
      <w:proofErr w:type="gramStart"/>
      <w:r w:rsidRPr="00B544FB">
        <w:rPr>
          <w:rFonts w:ascii="仿宋" w:eastAsia="仿宋" w:hAnsi="仿宋" w:cs="宋体" w:hint="eastAsia"/>
          <w:color w:val="666666"/>
          <w:kern w:val="0"/>
          <w:sz w:val="24"/>
          <w:szCs w:val="24"/>
        </w:rPr>
        <w:t>或函评均</w:t>
      </w:r>
      <w:proofErr w:type="gramEnd"/>
      <w:r w:rsidRPr="00B544FB">
        <w:rPr>
          <w:rFonts w:ascii="仿宋" w:eastAsia="仿宋" w:hAnsi="仿宋" w:cs="宋体" w:hint="eastAsia"/>
          <w:color w:val="666666"/>
          <w:kern w:val="0"/>
          <w:sz w:val="24"/>
          <w:szCs w:val="24"/>
        </w:rPr>
        <w:t xml:space="preserve">可）； </w:t>
      </w:r>
      <w:r w:rsidRPr="00B544FB">
        <w:rPr>
          <w:rFonts w:ascii="Calibri" w:eastAsia="仿宋" w:hAnsi="Calibri" w:cs="Calibri"/>
          <w:color w:val="666666"/>
          <w:kern w:val="0"/>
          <w:sz w:val="24"/>
          <w:szCs w:val="24"/>
        </w:rPr>
        <w:t> </w:t>
      </w:r>
    </w:p>
    <w:p w14:paraId="22EF2D87"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（三）成果用于生产实践（工程项目竣工）的时间和应用情况的证明材料；</w:t>
      </w:r>
    </w:p>
    <w:p w14:paraId="4CB25082"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（四）技术创新成果在应用单位或部门产生的环境、经济、社会效益证明（其中经济效益证明需有财务公章）；</w:t>
      </w:r>
    </w:p>
    <w:p w14:paraId="6FC77B77"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（五）科技查新报告（其中，特等奖查新报告需由国家科技部指定的查新单位出具）；</w:t>
      </w:r>
    </w:p>
    <w:p w14:paraId="52D8882E"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（六）申报项目需提供不超过5 分钟的影像资料。</w:t>
      </w:r>
    </w:p>
    <w:p w14:paraId="57ED219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符合本规定第八条相应申报条件的单位，应在规定的时间内向协会科技事务部申报。</w:t>
      </w:r>
    </w:p>
    <w:p w14:paraId="3F2F096E"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lastRenderedPageBreak/>
        <w:t>第十一条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凡申报的工程项目发生过重大安全、质量事故，受到政府主管部门通报批评或处罚的相关单位；或申报的科技创新成果涉及到知识产权纠纷和争议等不得申报本奖项。</w:t>
      </w:r>
    </w:p>
    <w:p w14:paraId="0A899DCD"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第四章 奖项设置</w:t>
      </w:r>
    </w:p>
    <w:p w14:paraId="5C7776F8"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第十二条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协会科学技术奖，分设特等奖、一等奖、二等奖三个等级。</w:t>
      </w:r>
    </w:p>
    <w:p w14:paraId="6E1BFC74"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（一）特等奖：主要技术指标或总体技术水平，达到或超过国际领先水平，技术难度与深度很大，能促进我国钢结构行业科技进步作用重大，并取得重大经济、社会和环境效益。</w:t>
      </w:r>
    </w:p>
    <w:p w14:paraId="42B0F1B7"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（二）一等奖：主要技术指标或总体技术水平，达到国际先进水平，技术难度与深度大，促进我国钢结构行业科技进步作用显著，并取得显著经济、社会和环境效益。</w:t>
      </w:r>
    </w:p>
    <w:p w14:paraId="1935D1D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（三）二等奖：主要技术指标或总体技术水平，达到国内领先水平，技术难度较大，促进我国钢结构行业科技进步作用明显，并取得明显经济、社会和环境效益。</w:t>
      </w:r>
    </w:p>
    <w:p w14:paraId="40BF450C"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第五章 奖项申报</w:t>
      </w:r>
    </w:p>
    <w:p w14:paraId="04C8BC7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第十三条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申报科学技术奖项的会员单位或社会其他单位，须向协会科技事务部进行申报。协会科技事务部根据申报奖项进行分类后，组织专家委员会或各专业分会进行初评。</w:t>
      </w:r>
    </w:p>
    <w:p w14:paraId="23F22826"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第十四条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专家委员会或各专业分会应对申报的成果进行审查，提出推荐意见和奖励等级建议，加盖公章后报协会科技事务部。</w:t>
      </w:r>
    </w:p>
    <w:p w14:paraId="1BFAFF44"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第十五条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两个或两个单位共同完成的成果，</w:t>
      </w:r>
      <w:proofErr w:type="gramStart"/>
      <w:r w:rsidRPr="00B544FB">
        <w:rPr>
          <w:rFonts w:ascii="仿宋" w:eastAsia="仿宋" w:hAnsi="仿宋" w:cs="宋体" w:hint="eastAsia"/>
          <w:color w:val="666666"/>
          <w:kern w:val="0"/>
          <w:sz w:val="24"/>
          <w:szCs w:val="24"/>
        </w:rPr>
        <w:t>由成果</w:t>
      </w:r>
      <w:proofErr w:type="gramEnd"/>
      <w:r w:rsidRPr="00B544FB">
        <w:rPr>
          <w:rFonts w:ascii="仿宋" w:eastAsia="仿宋" w:hAnsi="仿宋" w:cs="宋体" w:hint="eastAsia"/>
          <w:color w:val="666666"/>
          <w:kern w:val="0"/>
          <w:sz w:val="24"/>
          <w:szCs w:val="24"/>
        </w:rPr>
        <w:t>主持单位或第一完成单位与其它完成单位协商一致后申报。</w:t>
      </w:r>
    </w:p>
    <w:p w14:paraId="071F95C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第十六条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主要完成单位和主要完成人，必须是对成果完成</w:t>
      </w:r>
      <w:proofErr w:type="gramStart"/>
      <w:r w:rsidRPr="00B544FB">
        <w:rPr>
          <w:rFonts w:ascii="仿宋" w:eastAsia="仿宋" w:hAnsi="仿宋" w:cs="宋体" w:hint="eastAsia"/>
          <w:color w:val="666666"/>
          <w:kern w:val="0"/>
          <w:sz w:val="24"/>
          <w:szCs w:val="24"/>
        </w:rPr>
        <w:t>作出</w:t>
      </w:r>
      <w:proofErr w:type="gramEnd"/>
      <w:r w:rsidRPr="00B544FB">
        <w:rPr>
          <w:rFonts w:ascii="仿宋" w:eastAsia="仿宋" w:hAnsi="仿宋" w:cs="宋体" w:hint="eastAsia"/>
          <w:color w:val="666666"/>
          <w:kern w:val="0"/>
          <w:sz w:val="24"/>
          <w:szCs w:val="24"/>
        </w:rPr>
        <w:t>实质性贡献的单位和个人。完成单位必须具有独立法人资格。</w:t>
      </w:r>
    </w:p>
    <w:p w14:paraId="61C2482A"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第十七条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申报科学技术奖的主要完成单位和主要完成人的限额数为：</w:t>
      </w:r>
    </w:p>
    <w:tbl>
      <w:tblPr>
        <w:tblW w:w="0" w:type="auto"/>
        <w:jc w:val="center"/>
        <w:tblCellMar>
          <w:left w:w="0" w:type="dxa"/>
          <w:right w:w="0" w:type="dxa"/>
        </w:tblCellMar>
        <w:tblLook w:val="04A0" w:firstRow="1" w:lastRow="0" w:firstColumn="1" w:lastColumn="0" w:noHBand="0" w:noVBand="1"/>
      </w:tblPr>
      <w:tblGrid>
        <w:gridCol w:w="2764"/>
        <w:gridCol w:w="2763"/>
        <w:gridCol w:w="2763"/>
      </w:tblGrid>
      <w:tr w:rsidR="00B544FB" w:rsidRPr="00B544FB" w14:paraId="51FDB937" w14:textId="77777777" w:rsidTr="00B544FB">
        <w:trPr>
          <w:jc w:val="center"/>
        </w:trPr>
        <w:tc>
          <w:tcPr>
            <w:tcW w:w="2835" w:type="dxa"/>
            <w:tcBorders>
              <w:top w:val="single" w:sz="6" w:space="0" w:color="000000"/>
              <w:left w:val="single" w:sz="6" w:space="0" w:color="000000"/>
              <w:bottom w:val="single" w:sz="6" w:space="0" w:color="000000"/>
              <w:right w:val="single" w:sz="6" w:space="0" w:color="000000"/>
            </w:tcBorders>
            <w:vAlign w:val="center"/>
            <w:hideMark/>
          </w:tcPr>
          <w:p w14:paraId="75574EAB"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等级</w:t>
            </w:r>
          </w:p>
        </w:tc>
        <w:tc>
          <w:tcPr>
            <w:tcW w:w="2835" w:type="dxa"/>
            <w:tcBorders>
              <w:top w:val="single" w:sz="6" w:space="0" w:color="000000"/>
              <w:left w:val="nil"/>
              <w:bottom w:val="single" w:sz="6" w:space="0" w:color="000000"/>
              <w:right w:val="single" w:sz="6" w:space="0" w:color="000000"/>
            </w:tcBorders>
            <w:vAlign w:val="center"/>
            <w:hideMark/>
          </w:tcPr>
          <w:p w14:paraId="3171E70A"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主要完成单位数</w:t>
            </w:r>
          </w:p>
        </w:tc>
        <w:tc>
          <w:tcPr>
            <w:tcW w:w="2835" w:type="dxa"/>
            <w:tcBorders>
              <w:top w:val="single" w:sz="6" w:space="0" w:color="000000"/>
              <w:left w:val="nil"/>
              <w:bottom w:val="single" w:sz="6" w:space="0" w:color="000000"/>
              <w:right w:val="single" w:sz="6" w:space="0" w:color="000000"/>
            </w:tcBorders>
            <w:vAlign w:val="center"/>
            <w:hideMark/>
          </w:tcPr>
          <w:p w14:paraId="79B93A47"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主要完成人数</w:t>
            </w:r>
          </w:p>
        </w:tc>
      </w:tr>
      <w:tr w:rsidR="00B544FB" w:rsidRPr="00B544FB" w14:paraId="6FAC4A27" w14:textId="77777777" w:rsidTr="00B544FB">
        <w:trPr>
          <w:jc w:val="center"/>
        </w:trPr>
        <w:tc>
          <w:tcPr>
            <w:tcW w:w="2835" w:type="dxa"/>
            <w:tcBorders>
              <w:top w:val="nil"/>
              <w:left w:val="single" w:sz="6" w:space="0" w:color="000000"/>
              <w:bottom w:val="single" w:sz="6" w:space="0" w:color="000000"/>
              <w:right w:val="single" w:sz="6" w:space="0" w:color="000000"/>
            </w:tcBorders>
            <w:vAlign w:val="center"/>
            <w:hideMark/>
          </w:tcPr>
          <w:p w14:paraId="0DB763E7"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特等奖</w:t>
            </w:r>
          </w:p>
        </w:tc>
        <w:tc>
          <w:tcPr>
            <w:tcW w:w="2835" w:type="dxa"/>
            <w:tcBorders>
              <w:top w:val="nil"/>
              <w:left w:val="nil"/>
              <w:bottom w:val="single" w:sz="6" w:space="0" w:color="000000"/>
              <w:right w:val="single" w:sz="6" w:space="0" w:color="000000"/>
            </w:tcBorders>
            <w:vAlign w:val="center"/>
            <w:hideMark/>
          </w:tcPr>
          <w:p w14:paraId="4F803E21"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10</w:t>
            </w:r>
          </w:p>
        </w:tc>
        <w:tc>
          <w:tcPr>
            <w:tcW w:w="2835" w:type="dxa"/>
            <w:tcBorders>
              <w:top w:val="nil"/>
              <w:left w:val="nil"/>
              <w:bottom w:val="single" w:sz="6" w:space="0" w:color="000000"/>
              <w:right w:val="single" w:sz="6" w:space="0" w:color="000000"/>
            </w:tcBorders>
            <w:vAlign w:val="center"/>
            <w:hideMark/>
          </w:tcPr>
          <w:p w14:paraId="05DC4E16"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20</w:t>
            </w:r>
          </w:p>
        </w:tc>
      </w:tr>
      <w:tr w:rsidR="00B544FB" w:rsidRPr="00B544FB" w14:paraId="52D0BED7" w14:textId="77777777" w:rsidTr="00B544FB">
        <w:trPr>
          <w:jc w:val="center"/>
        </w:trPr>
        <w:tc>
          <w:tcPr>
            <w:tcW w:w="2835" w:type="dxa"/>
            <w:tcBorders>
              <w:top w:val="nil"/>
              <w:left w:val="single" w:sz="6" w:space="0" w:color="000000"/>
              <w:bottom w:val="single" w:sz="6" w:space="0" w:color="000000"/>
              <w:right w:val="single" w:sz="6" w:space="0" w:color="000000"/>
            </w:tcBorders>
            <w:vAlign w:val="center"/>
            <w:hideMark/>
          </w:tcPr>
          <w:p w14:paraId="3FA5A1CB"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一等奖</w:t>
            </w:r>
          </w:p>
        </w:tc>
        <w:tc>
          <w:tcPr>
            <w:tcW w:w="2835" w:type="dxa"/>
            <w:tcBorders>
              <w:top w:val="nil"/>
              <w:left w:val="nil"/>
              <w:bottom w:val="single" w:sz="6" w:space="0" w:color="000000"/>
              <w:right w:val="single" w:sz="6" w:space="0" w:color="000000"/>
            </w:tcBorders>
            <w:vAlign w:val="center"/>
            <w:hideMark/>
          </w:tcPr>
          <w:p w14:paraId="503CCAAD"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8</w:t>
            </w:r>
          </w:p>
        </w:tc>
        <w:tc>
          <w:tcPr>
            <w:tcW w:w="2835" w:type="dxa"/>
            <w:tcBorders>
              <w:top w:val="nil"/>
              <w:left w:val="nil"/>
              <w:bottom w:val="single" w:sz="6" w:space="0" w:color="000000"/>
              <w:right w:val="single" w:sz="6" w:space="0" w:color="000000"/>
            </w:tcBorders>
            <w:vAlign w:val="center"/>
            <w:hideMark/>
          </w:tcPr>
          <w:p w14:paraId="47383832"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15</w:t>
            </w:r>
          </w:p>
        </w:tc>
      </w:tr>
      <w:tr w:rsidR="00B544FB" w:rsidRPr="00B544FB" w14:paraId="6C8AF993" w14:textId="77777777" w:rsidTr="00B544FB">
        <w:trPr>
          <w:jc w:val="center"/>
        </w:trPr>
        <w:tc>
          <w:tcPr>
            <w:tcW w:w="2835" w:type="dxa"/>
            <w:tcBorders>
              <w:top w:val="nil"/>
              <w:left w:val="single" w:sz="6" w:space="0" w:color="000000"/>
              <w:bottom w:val="single" w:sz="6" w:space="0" w:color="000000"/>
              <w:right w:val="single" w:sz="6" w:space="0" w:color="000000"/>
            </w:tcBorders>
            <w:vAlign w:val="center"/>
            <w:hideMark/>
          </w:tcPr>
          <w:p w14:paraId="2D360E6E"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lastRenderedPageBreak/>
              <w:t>二等奖</w:t>
            </w:r>
          </w:p>
        </w:tc>
        <w:tc>
          <w:tcPr>
            <w:tcW w:w="2835" w:type="dxa"/>
            <w:tcBorders>
              <w:top w:val="nil"/>
              <w:left w:val="nil"/>
              <w:bottom w:val="single" w:sz="6" w:space="0" w:color="000000"/>
              <w:right w:val="single" w:sz="6" w:space="0" w:color="000000"/>
            </w:tcBorders>
            <w:vAlign w:val="center"/>
            <w:hideMark/>
          </w:tcPr>
          <w:p w14:paraId="0DD46104"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5</w:t>
            </w:r>
          </w:p>
        </w:tc>
        <w:tc>
          <w:tcPr>
            <w:tcW w:w="2835" w:type="dxa"/>
            <w:tcBorders>
              <w:top w:val="nil"/>
              <w:left w:val="nil"/>
              <w:bottom w:val="single" w:sz="6" w:space="0" w:color="000000"/>
              <w:right w:val="single" w:sz="6" w:space="0" w:color="000000"/>
            </w:tcBorders>
            <w:vAlign w:val="center"/>
            <w:hideMark/>
          </w:tcPr>
          <w:p w14:paraId="279A7BC5" w14:textId="77777777" w:rsidR="00B544FB" w:rsidRPr="00B544FB" w:rsidRDefault="00B544FB" w:rsidP="00B544FB">
            <w:pPr>
              <w:widowControl/>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10</w:t>
            </w:r>
          </w:p>
        </w:tc>
      </w:tr>
    </w:tbl>
    <w:p w14:paraId="2A956168"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第六章 评审机构</w:t>
      </w:r>
    </w:p>
    <w:p w14:paraId="3FC6A6ED"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第十八条</w:t>
      </w:r>
      <w:r w:rsidRPr="00B544FB">
        <w:rPr>
          <w:rFonts w:ascii="Calibri" w:eastAsia="仿宋" w:hAnsi="Calibri" w:cs="Calibri"/>
          <w:b/>
          <w:bCs/>
          <w:color w:val="666666"/>
          <w:kern w:val="0"/>
          <w:sz w:val="24"/>
          <w:szCs w:val="24"/>
        </w:rPr>
        <w:t> </w:t>
      </w:r>
      <w:r w:rsidRPr="00B544FB">
        <w:rPr>
          <w:rFonts w:ascii="仿宋" w:eastAsia="仿宋" w:hAnsi="仿宋" w:cs="宋体" w:hint="eastAsia"/>
          <w:color w:val="666666"/>
          <w:kern w:val="0"/>
          <w:sz w:val="24"/>
          <w:szCs w:val="24"/>
        </w:rPr>
        <w:t>协会科学技术奖评审委员会（简称科技奖评委会）负责最终审定科学技术奖的评审结果。</w:t>
      </w:r>
    </w:p>
    <w:p w14:paraId="42FEAB4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第十九条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科技奖评委会组成不少于15人，设主任委员 1 名，副主任委员若干名，由全国钢结构行业内具有高级及以上技术职称、熟悉本专业国内外技术发展现状、具有良好的职业道德的知名专家组成。</w:t>
      </w:r>
    </w:p>
    <w:p w14:paraId="3EFD0906"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第二十条</w:t>
      </w:r>
      <w:r w:rsidRPr="00B544FB">
        <w:rPr>
          <w:rFonts w:ascii="Calibri" w:eastAsia="仿宋" w:hAnsi="Calibri" w:cs="Calibri"/>
          <w:color w:val="666666"/>
          <w:kern w:val="0"/>
          <w:sz w:val="24"/>
          <w:szCs w:val="24"/>
        </w:rPr>
        <w:t> </w:t>
      </w:r>
      <w:proofErr w:type="gramStart"/>
      <w:r w:rsidRPr="00B544FB">
        <w:rPr>
          <w:rFonts w:ascii="仿宋" w:eastAsia="仿宋" w:hAnsi="仿宋" w:cs="宋体" w:hint="eastAsia"/>
          <w:color w:val="666666"/>
          <w:kern w:val="0"/>
          <w:sz w:val="24"/>
          <w:szCs w:val="24"/>
        </w:rPr>
        <w:t>初评组</w:t>
      </w:r>
      <w:proofErr w:type="gramEnd"/>
      <w:r w:rsidRPr="00B544FB">
        <w:rPr>
          <w:rFonts w:ascii="仿宋" w:eastAsia="仿宋" w:hAnsi="仿宋" w:cs="宋体" w:hint="eastAsia"/>
          <w:color w:val="666666"/>
          <w:kern w:val="0"/>
          <w:sz w:val="24"/>
          <w:szCs w:val="24"/>
        </w:rPr>
        <w:t>由专家委员会或各专业分会聘请不少于 5 名具有高级技术职称、熟悉本专业国内外技术发展现状、具有良好的职业道德专家组成。</w:t>
      </w:r>
    </w:p>
    <w:p w14:paraId="0C50034D"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第二十一条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协会科技事务部是科学技术奖奖励工作的办事机构，负责处理日常事务工作，并对推荐申报的奖项材料进行资格审查、分类及组织评审。</w:t>
      </w:r>
    </w:p>
    <w:p w14:paraId="749B4576"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第七章 奖项评审</w:t>
      </w:r>
    </w:p>
    <w:p w14:paraId="03C4AB52"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第二十二条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科学技术奖的评审工作分为初步评审和终评。奖项终评工作由科技奖评委会进行最终评选。</w:t>
      </w:r>
    </w:p>
    <w:p w14:paraId="2AED0830"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color w:val="666666"/>
          <w:kern w:val="0"/>
          <w:sz w:val="24"/>
          <w:szCs w:val="24"/>
        </w:rPr>
        <w:t>根据《国家奖励条例》限额授奖的精神，协会</w:t>
      </w:r>
      <w:proofErr w:type="gramStart"/>
      <w:r w:rsidRPr="00B544FB">
        <w:rPr>
          <w:rFonts w:ascii="仿宋" w:eastAsia="仿宋" w:hAnsi="仿宋" w:cs="宋体" w:hint="eastAsia"/>
          <w:color w:val="666666"/>
          <w:kern w:val="0"/>
          <w:sz w:val="24"/>
          <w:szCs w:val="24"/>
        </w:rPr>
        <w:t>科学技术奖总获奖</w:t>
      </w:r>
      <w:proofErr w:type="gramEnd"/>
      <w:r w:rsidRPr="00B544FB">
        <w:rPr>
          <w:rFonts w:ascii="仿宋" w:eastAsia="仿宋" w:hAnsi="仿宋" w:cs="宋体" w:hint="eastAsia"/>
          <w:color w:val="666666"/>
          <w:kern w:val="0"/>
          <w:sz w:val="24"/>
          <w:szCs w:val="24"/>
        </w:rPr>
        <w:t>项目数为终评项目总数的</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30% 左右。其中，特等奖不超过获奖项目的15%，一等奖不超过获奖项目的</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35%，二等奖不少于获奖项目的 50% 。</w:t>
      </w:r>
    </w:p>
    <w:p w14:paraId="625FD108"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第二十三条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科技奖评委会根据初审意见，首先进行网上打分，按照由主、</w:t>
      </w:r>
      <w:proofErr w:type="gramStart"/>
      <w:r w:rsidRPr="00B544FB">
        <w:rPr>
          <w:rFonts w:ascii="仿宋" w:eastAsia="仿宋" w:hAnsi="仿宋" w:cs="宋体" w:hint="eastAsia"/>
          <w:color w:val="666666"/>
          <w:kern w:val="0"/>
          <w:sz w:val="24"/>
          <w:szCs w:val="24"/>
        </w:rPr>
        <w:t>辅审专家</w:t>
      </w:r>
      <w:proofErr w:type="gramEnd"/>
      <w:r w:rsidRPr="00B544FB">
        <w:rPr>
          <w:rFonts w:ascii="仿宋" w:eastAsia="仿宋" w:hAnsi="仿宋" w:cs="宋体" w:hint="eastAsia"/>
          <w:color w:val="666666"/>
          <w:kern w:val="0"/>
          <w:sz w:val="24"/>
          <w:szCs w:val="24"/>
        </w:rPr>
        <w:t>给出意见，经与会委员充分讨论，以无记名投票方式表决，得票数达到与会评委二分之一（含）以上通过的奖项视为拟获奖。</w:t>
      </w:r>
    </w:p>
    <w:p w14:paraId="10E31792"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第二十四条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参加初评或终评的专家和工作人员，应本着科学、公正、独立的原则行使评审职权。对被评审项目的内容、评审过程、评审中评审专家个人意见及未公布的评审结果等，负有保密责任。评审中如有涉及与评审专家本人有关的项目时，实行回避制度。</w:t>
      </w:r>
    </w:p>
    <w:p w14:paraId="730BF296"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第二十五条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通过审定拟授奖的成果在“中国钢结构协会”网站（网址：</w:t>
      </w:r>
      <w:r w:rsidRPr="00B544FB">
        <w:rPr>
          <w:rFonts w:ascii="Calibri" w:eastAsia="仿宋" w:hAnsi="Calibri" w:cs="Calibri"/>
          <w:color w:val="666666"/>
          <w:kern w:val="0"/>
          <w:sz w:val="24"/>
          <w:szCs w:val="24"/>
        </w:rPr>
        <w:t> </w:t>
      </w:r>
      <w:hyperlink r:id="rId4" w:history="1">
        <w:r w:rsidRPr="00B544FB">
          <w:rPr>
            <w:rFonts w:ascii="仿宋" w:eastAsia="仿宋" w:hAnsi="仿宋" w:cs="宋体" w:hint="eastAsia"/>
            <w:color w:val="666666"/>
            <w:kern w:val="0"/>
            <w:sz w:val="24"/>
            <w:szCs w:val="24"/>
            <w:u w:val="single"/>
          </w:rPr>
          <w:t>www.cncscs.org</w:t>
        </w:r>
      </w:hyperlink>
      <w:r w:rsidRPr="00B544FB">
        <w:rPr>
          <w:rFonts w:ascii="仿宋" w:eastAsia="仿宋" w:hAnsi="仿宋" w:cs="宋体" w:hint="eastAsia"/>
          <w:color w:val="666666"/>
          <w:kern w:val="0"/>
          <w:sz w:val="24"/>
          <w:szCs w:val="24"/>
        </w:rPr>
        <w:t>.cn ）上向社会公示，公示期不少于10个工作日，广泛征求各方意见，并在授奖前征得获奖单位和个人同意。</w:t>
      </w:r>
    </w:p>
    <w:p w14:paraId="2C66475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lastRenderedPageBreak/>
        <w:t>第二十六条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对获奖持有异议的获奖单位或个人，须在规定的争议期内，以书面形式注明异议的关键论点、论据，并附有关资料提交奖励办，逾期不予受理。提异议的单位须在材料上加盖本单位的公章，注明联系人姓名和电话；对于提出异议的个人，须在材料上写清真实姓名、工作单位、联系电话、地址等个人资料。</w:t>
      </w:r>
    </w:p>
    <w:p w14:paraId="6ACB051B"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第二十七条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对提出的获奖有异议的奖项，由协会科技事务部组织专家评委进行调查，并提出处理意见。涉及到候选单位、候选人及其排序的异议，由推荐单位负责协调解决。对评审等级的意见不属异议范围。</w:t>
      </w:r>
    </w:p>
    <w:p w14:paraId="098FC15E"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第二十八条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对于推荐材料不完善的项目，可</w:t>
      </w:r>
      <w:proofErr w:type="gramStart"/>
      <w:r w:rsidRPr="00B544FB">
        <w:rPr>
          <w:rFonts w:ascii="仿宋" w:eastAsia="仿宋" w:hAnsi="仿宋" w:cs="宋体" w:hint="eastAsia"/>
          <w:color w:val="666666"/>
          <w:kern w:val="0"/>
          <w:sz w:val="24"/>
          <w:szCs w:val="24"/>
        </w:rPr>
        <w:t>列为缓评项目</w:t>
      </w:r>
      <w:proofErr w:type="gramEnd"/>
      <w:r w:rsidRPr="00B544FB">
        <w:rPr>
          <w:rFonts w:ascii="仿宋" w:eastAsia="仿宋" w:hAnsi="仿宋" w:cs="宋体" w:hint="eastAsia"/>
          <w:color w:val="666666"/>
          <w:kern w:val="0"/>
          <w:sz w:val="24"/>
          <w:szCs w:val="24"/>
        </w:rPr>
        <w:t>。</w:t>
      </w:r>
      <w:proofErr w:type="gramStart"/>
      <w:r w:rsidRPr="00B544FB">
        <w:rPr>
          <w:rFonts w:ascii="仿宋" w:eastAsia="仿宋" w:hAnsi="仿宋" w:cs="宋体" w:hint="eastAsia"/>
          <w:color w:val="666666"/>
          <w:kern w:val="0"/>
          <w:sz w:val="24"/>
          <w:szCs w:val="24"/>
        </w:rPr>
        <w:t>缓评项目</w:t>
      </w:r>
      <w:proofErr w:type="gramEnd"/>
      <w:r w:rsidRPr="00B544FB">
        <w:rPr>
          <w:rFonts w:ascii="仿宋" w:eastAsia="仿宋" w:hAnsi="仿宋" w:cs="宋体" w:hint="eastAsia"/>
          <w:color w:val="666666"/>
          <w:kern w:val="0"/>
          <w:sz w:val="24"/>
          <w:szCs w:val="24"/>
        </w:rPr>
        <w:t>由各评审组提出意见，并及时将缓评理由书面通知申报单位。</w:t>
      </w:r>
      <w:proofErr w:type="gramStart"/>
      <w:r w:rsidRPr="00B544FB">
        <w:rPr>
          <w:rFonts w:ascii="仿宋" w:eastAsia="仿宋" w:hAnsi="仿宋" w:cs="宋体" w:hint="eastAsia"/>
          <w:color w:val="666666"/>
          <w:kern w:val="0"/>
          <w:sz w:val="24"/>
          <w:szCs w:val="24"/>
        </w:rPr>
        <w:t>待材料</w:t>
      </w:r>
      <w:proofErr w:type="gramEnd"/>
      <w:r w:rsidRPr="00B544FB">
        <w:rPr>
          <w:rFonts w:ascii="仿宋" w:eastAsia="仿宋" w:hAnsi="仿宋" w:cs="宋体" w:hint="eastAsia"/>
          <w:color w:val="666666"/>
          <w:kern w:val="0"/>
          <w:sz w:val="24"/>
          <w:szCs w:val="24"/>
        </w:rPr>
        <w:t>补充完善后，于</w:t>
      </w:r>
      <w:proofErr w:type="gramStart"/>
      <w:r w:rsidRPr="00B544FB">
        <w:rPr>
          <w:rFonts w:ascii="仿宋" w:eastAsia="仿宋" w:hAnsi="仿宋" w:cs="宋体" w:hint="eastAsia"/>
          <w:color w:val="666666"/>
          <w:kern w:val="0"/>
          <w:sz w:val="24"/>
          <w:szCs w:val="24"/>
        </w:rPr>
        <w:t>次年向</w:t>
      </w:r>
      <w:proofErr w:type="gramEnd"/>
      <w:r w:rsidRPr="00B544FB">
        <w:rPr>
          <w:rFonts w:ascii="仿宋" w:eastAsia="仿宋" w:hAnsi="仿宋" w:cs="宋体" w:hint="eastAsia"/>
          <w:color w:val="666666"/>
          <w:kern w:val="0"/>
          <w:sz w:val="24"/>
          <w:szCs w:val="24"/>
        </w:rPr>
        <w:t>协会科技事务部提出复评。</w:t>
      </w:r>
    </w:p>
    <w:p w14:paraId="6AF9DDA1"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第二十九条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已获科学技术奖的工程项目、研究成果，若被举报或发现存在质量等问题，或成果有剽窃、弄虚作假等重大问题，经查实后，协会有权撤销其奖励，在媒体上予以公布，并在三年内对其相关单位及个人取消奖项申报资格。</w:t>
      </w:r>
    </w:p>
    <w:p w14:paraId="0EB86952"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第三十条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科学技术奖由中国钢结构协会颁发给单位和个人荣誉证书，在“中国钢结构协会”网站</w:t>
      </w:r>
      <w:bookmarkStart w:id="1" w:name="_GoBack"/>
      <w:bookmarkEnd w:id="1"/>
      <w:r w:rsidRPr="00B544FB">
        <w:rPr>
          <w:rFonts w:ascii="仿宋" w:eastAsia="仿宋" w:hAnsi="仿宋" w:cs="宋体" w:hint="eastAsia"/>
          <w:color w:val="666666"/>
          <w:kern w:val="0"/>
          <w:sz w:val="24"/>
          <w:szCs w:val="24"/>
        </w:rPr>
        <w:t>、《钢结构》杂志等媒体上公布。</w:t>
      </w:r>
    </w:p>
    <w:p w14:paraId="53AD1DC5" w14:textId="77777777" w:rsidR="00B544FB" w:rsidRPr="00B544FB" w:rsidRDefault="00B544FB" w:rsidP="00B544FB">
      <w:pPr>
        <w:widowControl/>
        <w:shd w:val="clear" w:color="auto" w:fill="FFFFFF"/>
        <w:spacing w:line="504" w:lineRule="atLeast"/>
        <w:jc w:val="center"/>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第八章 附则</w:t>
      </w:r>
    </w:p>
    <w:p w14:paraId="335BE423" w14:textId="77777777" w:rsidR="00B544FB" w:rsidRPr="00B544FB" w:rsidRDefault="00B544FB" w:rsidP="00B544FB">
      <w:pPr>
        <w:widowControl/>
        <w:shd w:val="clear" w:color="auto" w:fill="FFFFFF"/>
        <w:spacing w:line="504" w:lineRule="atLeast"/>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第三十一条</w:t>
      </w:r>
      <w:r w:rsidRPr="00B544FB">
        <w:rPr>
          <w:rFonts w:ascii="Calibri" w:eastAsia="仿宋" w:hAnsi="Calibri" w:cs="Calibri"/>
          <w:b/>
          <w:bCs/>
          <w:color w:val="666666"/>
          <w:kern w:val="0"/>
          <w:sz w:val="24"/>
          <w:szCs w:val="24"/>
        </w:rPr>
        <w:t> </w:t>
      </w:r>
      <w:r w:rsidRPr="00B544FB">
        <w:rPr>
          <w:rFonts w:ascii="仿宋" w:eastAsia="仿宋" w:hAnsi="仿宋" w:cs="宋体" w:hint="eastAsia"/>
          <w:color w:val="666666"/>
          <w:kern w:val="0"/>
          <w:sz w:val="24"/>
          <w:szCs w:val="24"/>
        </w:rPr>
        <w:t>本规定解释权属协会理事会，由协会秘书处负责具体解释。</w:t>
      </w:r>
    </w:p>
    <w:p w14:paraId="674BD6D3" w14:textId="77777777" w:rsidR="00B544FB" w:rsidRPr="00B544FB" w:rsidRDefault="00B544FB" w:rsidP="00B544FB">
      <w:pPr>
        <w:widowControl/>
        <w:shd w:val="clear" w:color="auto" w:fill="FFFFFF"/>
        <w:spacing w:line="504" w:lineRule="atLeast"/>
        <w:ind w:left="560"/>
        <w:rPr>
          <w:rFonts w:ascii="微软雅黑" w:eastAsia="微软雅黑" w:hAnsi="微软雅黑" w:cs="宋体" w:hint="eastAsia"/>
          <w:color w:val="666666"/>
          <w:kern w:val="0"/>
          <w:sz w:val="24"/>
          <w:szCs w:val="24"/>
        </w:rPr>
      </w:pPr>
      <w:r w:rsidRPr="00B544FB">
        <w:rPr>
          <w:rFonts w:ascii="仿宋" w:eastAsia="仿宋" w:hAnsi="仿宋" w:cs="宋体" w:hint="eastAsia"/>
          <w:b/>
          <w:bCs/>
          <w:color w:val="666666"/>
          <w:kern w:val="0"/>
          <w:sz w:val="24"/>
          <w:szCs w:val="24"/>
        </w:rPr>
        <w:t>第三十二条</w:t>
      </w:r>
      <w:r w:rsidRPr="00B544FB">
        <w:rPr>
          <w:rFonts w:ascii="Calibri" w:eastAsia="仿宋" w:hAnsi="Calibri" w:cs="Calibri"/>
          <w:color w:val="666666"/>
          <w:kern w:val="0"/>
          <w:sz w:val="24"/>
          <w:szCs w:val="24"/>
        </w:rPr>
        <w:t> </w:t>
      </w:r>
      <w:r w:rsidRPr="00B544FB">
        <w:rPr>
          <w:rFonts w:ascii="仿宋" w:eastAsia="仿宋" w:hAnsi="仿宋" w:cs="宋体" w:hint="eastAsia"/>
          <w:color w:val="666666"/>
          <w:kern w:val="0"/>
          <w:sz w:val="24"/>
          <w:szCs w:val="24"/>
        </w:rPr>
        <w:t>本办法自发布之日起执行</w:t>
      </w:r>
      <w:r w:rsidRPr="00B544FB">
        <w:rPr>
          <w:rFonts w:ascii="宋体" w:eastAsia="宋体" w:hAnsi="宋体" w:cs="宋体" w:hint="eastAsia"/>
          <w:color w:val="666666"/>
          <w:kern w:val="0"/>
          <w:sz w:val="24"/>
          <w:szCs w:val="24"/>
        </w:rPr>
        <w:t>。</w:t>
      </w:r>
    </w:p>
    <w:p w14:paraId="2101E11E" w14:textId="77777777" w:rsidR="00784A82" w:rsidRPr="00B544FB" w:rsidRDefault="00784A82"/>
    <w:sectPr w:rsidR="00784A82" w:rsidRPr="00B544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FB"/>
    <w:rsid w:val="00784A82"/>
    <w:rsid w:val="00B5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CEA5"/>
  <w15:chartTrackingRefBased/>
  <w15:docId w15:val="{65BD195D-1257-462A-800C-3DE506D6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4FB"/>
    <w:rPr>
      <w:color w:val="0000FF"/>
      <w:u w:val="single"/>
    </w:rPr>
  </w:style>
  <w:style w:type="paragraph" w:styleId="a4">
    <w:name w:val="Normal (Web)"/>
    <w:basedOn w:val="a"/>
    <w:uiPriority w:val="99"/>
    <w:semiHidden/>
    <w:unhideWhenUsed/>
    <w:rsid w:val="00B544F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5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20395">
      <w:bodyDiv w:val="1"/>
      <w:marLeft w:val="0"/>
      <w:marRight w:val="0"/>
      <w:marTop w:val="0"/>
      <w:marBottom w:val="0"/>
      <w:divBdr>
        <w:top w:val="none" w:sz="0" w:space="0" w:color="auto"/>
        <w:left w:val="none" w:sz="0" w:space="0" w:color="auto"/>
        <w:bottom w:val="none" w:sz="0" w:space="0" w:color="auto"/>
        <w:right w:val="none" w:sz="0" w:space="0" w:color="auto"/>
      </w:divBdr>
      <w:divsChild>
        <w:div w:id="1250886877">
          <w:marLeft w:val="0"/>
          <w:marRight w:val="0"/>
          <w:marTop w:val="0"/>
          <w:marBottom w:val="0"/>
          <w:divBdr>
            <w:top w:val="none" w:sz="0" w:space="0" w:color="auto"/>
            <w:left w:val="none" w:sz="0" w:space="0" w:color="auto"/>
            <w:bottom w:val="single" w:sz="6" w:space="8" w:color="D1D1D1"/>
            <w:right w:val="none" w:sz="0" w:space="0" w:color="auto"/>
          </w:divBdr>
          <w:divsChild>
            <w:div w:id="16618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csc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2022-05-20T02:59:00Z</dcterms:created>
  <dcterms:modified xsi:type="dcterms:W3CDTF">2022-05-20T03:01:00Z</dcterms:modified>
</cp:coreProperties>
</file>