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31D3"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color w:val="666666"/>
        </w:rPr>
      </w:pPr>
      <w:r>
        <w:rPr>
          <w:rStyle w:val="a4"/>
          <w:rFonts w:ascii="仿宋" w:eastAsia="仿宋" w:hAnsi="仿宋" w:hint="eastAsia"/>
          <w:color w:val="666666"/>
        </w:rPr>
        <w:t>中国钢结构协会科学技术奖励管理办法</w:t>
      </w:r>
    </w:p>
    <w:p w14:paraId="68415CDE"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hint="eastAsia"/>
          <w:color w:val="666666"/>
        </w:rPr>
      </w:pPr>
      <w:r>
        <w:rPr>
          <w:rStyle w:val="a4"/>
          <w:rFonts w:ascii="仿宋" w:eastAsia="仿宋" w:hAnsi="仿宋" w:hint="eastAsia"/>
          <w:color w:val="666666"/>
        </w:rPr>
        <w:t>第一章</w:t>
      </w:r>
      <w:r>
        <w:rPr>
          <w:rFonts w:ascii="微软雅黑" w:eastAsia="微软雅黑" w:hAnsi="微软雅黑" w:hint="eastAsia"/>
          <w:color w:val="666666"/>
        </w:rPr>
        <w:t> </w:t>
      </w:r>
      <w:r>
        <w:rPr>
          <w:rStyle w:val="a4"/>
          <w:rFonts w:ascii="仿宋" w:eastAsia="仿宋" w:hAnsi="仿宋" w:hint="eastAsia"/>
          <w:color w:val="666666"/>
        </w:rPr>
        <w:t>总则</w:t>
      </w:r>
    </w:p>
    <w:p w14:paraId="2E949C19"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第一条</w:t>
      </w:r>
      <w:r>
        <w:rPr>
          <w:rFonts w:ascii="Calibri" w:eastAsia="仿宋" w:hAnsi="Calibri" w:cs="Calibri"/>
          <w:color w:val="666666"/>
        </w:rPr>
        <w:t> </w:t>
      </w:r>
      <w:r>
        <w:rPr>
          <w:rFonts w:ascii="仿宋" w:eastAsia="仿宋" w:hAnsi="仿宋" w:hint="eastAsia"/>
          <w:color w:val="666666"/>
        </w:rPr>
        <w:t>为促进全国钢结构行业高质量发展，提高钢结构建筑的质量和水平，引导、鼓励从事钢结构的技术人员创作出更多质量优、水平高、效益好的工程项目，加快科技成果应用，发挥奖励表彰先进技术、优秀工程及褒奖先进人物的作用，规范中国钢结构协会（以下简称协会）奖励评选工作，根据国家有关规定，结合协会实际，制定本办法。</w:t>
      </w:r>
    </w:p>
    <w:p w14:paraId="163530B1"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第二条</w:t>
      </w:r>
      <w:r>
        <w:rPr>
          <w:rStyle w:val="a4"/>
          <w:rFonts w:ascii="Calibri" w:eastAsia="仿宋" w:hAnsi="Calibri" w:cs="Calibri"/>
          <w:color w:val="666666"/>
        </w:rPr>
        <w:t> </w:t>
      </w:r>
      <w:r>
        <w:rPr>
          <w:rFonts w:ascii="仿宋" w:eastAsia="仿宋" w:hAnsi="仿宋" w:hint="eastAsia"/>
          <w:color w:val="666666"/>
        </w:rPr>
        <w:t>协会科学技术奖励名称：中国钢结构协会科学技术奖；设奖者：中国钢结构协会；登记证书：《中华人民共和国社会力量设立科学技术奖》（国</w:t>
      </w:r>
      <w:proofErr w:type="gramStart"/>
      <w:r>
        <w:rPr>
          <w:rFonts w:ascii="仿宋" w:eastAsia="仿宋" w:hAnsi="仿宋" w:hint="eastAsia"/>
          <w:color w:val="666666"/>
        </w:rPr>
        <w:t>科奖社证</w:t>
      </w:r>
      <w:proofErr w:type="gramEnd"/>
      <w:r>
        <w:rPr>
          <w:rFonts w:ascii="仿宋" w:eastAsia="仿宋" w:hAnsi="仿宋" w:hint="eastAsia"/>
          <w:color w:val="666666"/>
        </w:rPr>
        <w:t>字第0163号）。</w:t>
      </w:r>
    </w:p>
    <w:p w14:paraId="1199C654"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第三条</w:t>
      </w:r>
      <w:r>
        <w:rPr>
          <w:rFonts w:ascii="Calibri" w:eastAsia="仿宋" w:hAnsi="Calibri" w:cs="Calibri"/>
          <w:color w:val="666666"/>
        </w:rPr>
        <w:t> </w:t>
      </w:r>
      <w:r>
        <w:rPr>
          <w:rFonts w:ascii="仿宋" w:eastAsia="仿宋" w:hAnsi="仿宋" w:hint="eastAsia"/>
          <w:color w:val="666666"/>
        </w:rPr>
        <w:t>协会奖励接受国家科学技术奖励工作办公室的指导，遵守下列原则：</w:t>
      </w:r>
    </w:p>
    <w:p w14:paraId="535A37B1"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（一）奖励项目应当合理设置；</w:t>
      </w:r>
    </w:p>
    <w:p w14:paraId="47175D76"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（二）评奖应当实事求是、科学严谨、优中选优和公开、公平、公正，不收取任何申报评审费用；</w:t>
      </w:r>
    </w:p>
    <w:p w14:paraId="666961BD"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（三）授奖对象应当具有先进性；</w:t>
      </w:r>
    </w:p>
    <w:p w14:paraId="73D782BF"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（四）奖励坚持精神奖励和物质奖励相结合，以精神奖励为主。</w:t>
      </w:r>
    </w:p>
    <w:p w14:paraId="2DBFD997"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第四条</w:t>
      </w:r>
      <w:r>
        <w:rPr>
          <w:rStyle w:val="a4"/>
          <w:rFonts w:ascii="Calibri" w:eastAsia="仿宋" w:hAnsi="Calibri" w:cs="Calibri"/>
          <w:color w:val="666666"/>
        </w:rPr>
        <w:t> </w:t>
      </w:r>
      <w:r>
        <w:rPr>
          <w:rFonts w:ascii="仿宋" w:eastAsia="仿宋" w:hAnsi="仿宋" w:hint="eastAsia"/>
          <w:color w:val="666666"/>
        </w:rPr>
        <w:t>本办法属于协会制度体系中的第一层级，适用于总会秘书处和各分支机构秘书处。</w:t>
      </w:r>
    </w:p>
    <w:p w14:paraId="340B479A"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第五条</w:t>
      </w:r>
      <w:r>
        <w:rPr>
          <w:rStyle w:val="a4"/>
          <w:rFonts w:ascii="Calibri" w:eastAsia="仿宋" w:hAnsi="Calibri" w:cs="Calibri"/>
          <w:color w:val="666666"/>
        </w:rPr>
        <w:t> </w:t>
      </w:r>
      <w:r>
        <w:rPr>
          <w:rFonts w:ascii="仿宋" w:eastAsia="仿宋" w:hAnsi="仿宋" w:hint="eastAsia"/>
          <w:color w:val="666666"/>
        </w:rPr>
        <w:t>本办法主要应对以下可能存在的风险：</w:t>
      </w:r>
    </w:p>
    <w:p w14:paraId="2FC6BF4E"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协会科学技术奖励定位不明确，职责不清晰，各项管理工作不规范，有可能带来的法律风险。</w:t>
      </w:r>
    </w:p>
    <w:p w14:paraId="76A5DD70"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hint="eastAsia"/>
          <w:color w:val="666666"/>
        </w:rPr>
      </w:pPr>
      <w:r>
        <w:rPr>
          <w:rStyle w:val="a4"/>
          <w:rFonts w:ascii="仿宋" w:eastAsia="仿宋" w:hAnsi="仿宋" w:hint="eastAsia"/>
          <w:color w:val="666666"/>
        </w:rPr>
        <w:t>第二章 奖励类别</w:t>
      </w:r>
    </w:p>
    <w:p w14:paraId="542D042D"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第六条</w:t>
      </w:r>
      <w:r>
        <w:rPr>
          <w:rFonts w:ascii="Calibri" w:eastAsia="仿宋" w:hAnsi="Calibri" w:cs="Calibri"/>
          <w:color w:val="666666"/>
        </w:rPr>
        <w:t> </w:t>
      </w:r>
      <w:r>
        <w:rPr>
          <w:rFonts w:ascii="仿宋" w:eastAsia="仿宋" w:hAnsi="仿宋" w:hint="eastAsia"/>
          <w:color w:val="666666"/>
        </w:rPr>
        <w:t>对在钢结构领域中，综合表现卓越、业绩优异、贡献突出、起到示范作用，为行业和社会做出突出贡献的集体和个人给予奖励，奖励方式主要是精神奖励（授予荣誉称号）。</w:t>
      </w:r>
    </w:p>
    <w:p w14:paraId="5E06212A"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第七条</w:t>
      </w:r>
      <w:r>
        <w:rPr>
          <w:rFonts w:ascii="Calibri" w:eastAsia="仿宋" w:hAnsi="Calibri" w:cs="Calibri"/>
          <w:color w:val="666666"/>
        </w:rPr>
        <w:t> </w:t>
      </w:r>
      <w:r>
        <w:rPr>
          <w:rFonts w:ascii="仿宋" w:eastAsia="仿宋" w:hAnsi="仿宋" w:hint="eastAsia"/>
          <w:color w:val="666666"/>
        </w:rPr>
        <w:t>协会奖励按照技术综合类和人物综合类进行评选。</w:t>
      </w:r>
    </w:p>
    <w:p w14:paraId="2C333AE6"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第八条</w:t>
      </w:r>
      <w:r>
        <w:rPr>
          <w:rStyle w:val="a4"/>
          <w:rFonts w:ascii="Calibri" w:eastAsia="仿宋" w:hAnsi="Calibri" w:cs="Calibri"/>
          <w:color w:val="666666"/>
        </w:rPr>
        <w:t> </w:t>
      </w:r>
      <w:r>
        <w:rPr>
          <w:rFonts w:ascii="仿宋" w:eastAsia="仿宋" w:hAnsi="仿宋" w:hint="eastAsia"/>
          <w:color w:val="666666"/>
        </w:rPr>
        <w:t>技术综合类奖项包括：科学技术奖、科技创新奖。</w:t>
      </w:r>
    </w:p>
    <w:p w14:paraId="44675FF2"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lastRenderedPageBreak/>
        <w:t>科学技术奖：</w:t>
      </w:r>
      <w:r>
        <w:rPr>
          <w:rFonts w:ascii="仿宋" w:eastAsia="仿宋" w:hAnsi="仿宋" w:hint="eastAsia"/>
          <w:color w:val="666666"/>
        </w:rPr>
        <w:t>授予在钢结构领域的工程建设项目（设计、制作、安装、管理等）和科技研发的新技术、新工艺、新材料、新产品及基础理论方面取得的研究成果；推广、应用、集成已有的先进成果；消化吸收、引进国外先进技术再创新的科学技术成果等方面表现优秀的单位和个人。</w:t>
      </w:r>
      <w:r>
        <w:rPr>
          <w:rStyle w:val="a4"/>
          <w:rFonts w:ascii="仿宋" w:eastAsia="仿宋" w:hAnsi="仿宋" w:hint="eastAsia"/>
          <w:color w:val="666666"/>
        </w:rPr>
        <w:t>每年评选一次，设特等奖、一等奖、二等奖</w:t>
      </w:r>
      <w:r>
        <w:rPr>
          <w:rFonts w:ascii="仿宋" w:eastAsia="仿宋" w:hAnsi="仿宋" w:hint="eastAsia"/>
          <w:color w:val="666666"/>
        </w:rPr>
        <w:t>。</w:t>
      </w:r>
    </w:p>
    <w:p w14:paraId="4CD8B150"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技术创新奖：</w:t>
      </w:r>
      <w:r>
        <w:rPr>
          <w:rFonts w:ascii="仿宋" w:eastAsia="仿宋" w:hAnsi="仿宋" w:hint="eastAsia"/>
          <w:color w:val="666666"/>
        </w:rPr>
        <w:t>授予在钢结构领域科技基础理论研究、技术开发创新方面取得显著成绩，完成多项国家、省、市级科技计划项目并取得良好效果的；主持研制相关技术领域的国际标准、国家标准或者行业标准，并发布实施的；在从事钢结构研发或工程应用等工作中取得应用类科技创新成果的单位和个人。</w:t>
      </w:r>
      <w:r>
        <w:rPr>
          <w:rStyle w:val="a4"/>
          <w:rFonts w:ascii="仿宋" w:eastAsia="仿宋" w:hAnsi="仿宋" w:hint="eastAsia"/>
          <w:color w:val="666666"/>
        </w:rPr>
        <w:t>每年评选一次，不设奖励等级</w:t>
      </w:r>
      <w:r>
        <w:rPr>
          <w:rFonts w:ascii="仿宋" w:eastAsia="仿宋" w:hAnsi="仿宋" w:hint="eastAsia"/>
          <w:color w:val="666666"/>
        </w:rPr>
        <w:t>。</w:t>
      </w:r>
    </w:p>
    <w:p w14:paraId="30172135"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第九条</w:t>
      </w:r>
      <w:r>
        <w:rPr>
          <w:rStyle w:val="a4"/>
          <w:rFonts w:ascii="Calibri" w:eastAsia="仿宋" w:hAnsi="Calibri" w:cs="Calibri"/>
          <w:color w:val="666666"/>
        </w:rPr>
        <w:t> </w:t>
      </w:r>
      <w:r>
        <w:rPr>
          <w:rFonts w:ascii="仿宋" w:eastAsia="仿宋" w:hAnsi="仿宋" w:hint="eastAsia"/>
          <w:color w:val="666666"/>
        </w:rPr>
        <w:t>人物综合类奖项包括：钢结构杰出人才奖、钢结构大师、创新人才奖等。</w:t>
      </w:r>
    </w:p>
    <w:p w14:paraId="0261AB40"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钢结构杰出人才奖：</w:t>
      </w:r>
      <w:r>
        <w:rPr>
          <w:rFonts w:ascii="仿宋" w:eastAsia="仿宋" w:hAnsi="仿宋" w:hint="eastAsia"/>
          <w:color w:val="666666"/>
        </w:rPr>
        <w:t>授予对促进钢结构事业发展，从事钢结构研究及工程领域做出突出贡献的人员，包括经济、技术、管理等。</w:t>
      </w:r>
      <w:r>
        <w:rPr>
          <w:rStyle w:val="a4"/>
          <w:rFonts w:ascii="仿宋" w:eastAsia="仿宋" w:hAnsi="仿宋" w:hint="eastAsia"/>
          <w:color w:val="666666"/>
        </w:rPr>
        <w:t>每两年评选一次</w:t>
      </w:r>
      <w:r>
        <w:rPr>
          <w:rFonts w:ascii="仿宋" w:eastAsia="仿宋" w:hAnsi="仿宋" w:hint="eastAsia"/>
          <w:color w:val="666666"/>
        </w:rPr>
        <w:t>。</w:t>
      </w:r>
    </w:p>
    <w:p w14:paraId="77F3642E"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钢结构大师：</w:t>
      </w:r>
      <w:r>
        <w:rPr>
          <w:rFonts w:ascii="仿宋" w:eastAsia="仿宋" w:hAnsi="仿宋" w:hint="eastAsia"/>
          <w:color w:val="666666"/>
        </w:rPr>
        <w:t>授予对具备坚实的专业理论知识和丰富的实践经验，在钢结构建造领域取得卓著成绩，在本行业享有较高声誉，累计从事钢结构工程工作（含研究生就读期间）20年以上（有特殊贡献者除外），在技术创新、新技术推广应用及解决重大工程建设技术难题方面成效显著的专家、学者、工程技术人员。</w:t>
      </w:r>
      <w:r>
        <w:rPr>
          <w:rStyle w:val="a4"/>
          <w:rFonts w:ascii="仿宋" w:eastAsia="仿宋" w:hAnsi="仿宋" w:hint="eastAsia"/>
          <w:color w:val="666666"/>
        </w:rPr>
        <w:t>每两年评选一次</w:t>
      </w:r>
      <w:r>
        <w:rPr>
          <w:rFonts w:ascii="仿宋" w:eastAsia="仿宋" w:hAnsi="仿宋" w:hint="eastAsia"/>
          <w:color w:val="666666"/>
        </w:rPr>
        <w:t>。</w:t>
      </w:r>
    </w:p>
    <w:p w14:paraId="4F571FD0"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创新人才奖：</w:t>
      </w:r>
      <w:r>
        <w:rPr>
          <w:rFonts w:ascii="仿宋" w:eastAsia="仿宋" w:hAnsi="仿宋" w:hint="eastAsia"/>
          <w:color w:val="666666"/>
        </w:rPr>
        <w:t>授予在钢结构产业发展与自主创新方面，包括：基础研究、技术创新、工程应用、设计、施工、运营维护等方面的创新型人才。</w:t>
      </w:r>
      <w:r>
        <w:rPr>
          <w:rStyle w:val="a4"/>
          <w:rFonts w:ascii="仿宋" w:eastAsia="仿宋" w:hAnsi="仿宋" w:hint="eastAsia"/>
          <w:color w:val="666666"/>
        </w:rPr>
        <w:t>每年评选一次</w:t>
      </w:r>
      <w:r>
        <w:rPr>
          <w:rFonts w:ascii="仿宋" w:eastAsia="仿宋" w:hAnsi="仿宋" w:hint="eastAsia"/>
          <w:color w:val="666666"/>
        </w:rPr>
        <w:t>。</w:t>
      </w:r>
    </w:p>
    <w:p w14:paraId="5C6C5D15"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hint="eastAsia"/>
          <w:color w:val="666666"/>
        </w:rPr>
      </w:pPr>
      <w:r>
        <w:rPr>
          <w:rStyle w:val="a4"/>
          <w:rFonts w:ascii="仿宋" w:eastAsia="仿宋" w:hAnsi="仿宋" w:hint="eastAsia"/>
          <w:color w:val="666666"/>
        </w:rPr>
        <w:t>第三章 奖励程序</w:t>
      </w:r>
    </w:p>
    <w:p w14:paraId="443BC565"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第十条</w:t>
      </w:r>
      <w:r>
        <w:rPr>
          <w:rStyle w:val="a4"/>
          <w:rFonts w:ascii="Calibri" w:eastAsia="仿宋" w:hAnsi="Calibri" w:cs="Calibri"/>
          <w:color w:val="666666"/>
        </w:rPr>
        <w:t> </w:t>
      </w:r>
      <w:r>
        <w:rPr>
          <w:rFonts w:ascii="仿宋" w:eastAsia="仿宋" w:hAnsi="仿宋" w:hint="eastAsia"/>
          <w:color w:val="666666"/>
        </w:rPr>
        <w:t>奖励程序分为提出、评审、公示和实施四个环节。</w:t>
      </w:r>
    </w:p>
    <w:p w14:paraId="44109A91"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（一）提出环节：拟申请奖励的集体或个人所在分支机构进行初审后向协会提出。</w:t>
      </w:r>
    </w:p>
    <w:p w14:paraId="4C069593"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（二）协会奖励评审委员会组织完成奖励评审，提出具体奖励意见。</w:t>
      </w:r>
    </w:p>
    <w:p w14:paraId="33A50DA2"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（三）公示环节：协会对评审结果进行公示，公开征求意见，公示期不少于10个工作日。</w:t>
      </w:r>
    </w:p>
    <w:p w14:paraId="5E08C289"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lastRenderedPageBreak/>
        <w:t>（四）实施环节：协会秘书处科技事务部负责实施，在授奖前征得获奖单位和个人同意。</w:t>
      </w:r>
    </w:p>
    <w:p w14:paraId="111BF4F0"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第十一条</w:t>
      </w:r>
      <w:r>
        <w:rPr>
          <w:rFonts w:ascii="微软雅黑" w:eastAsia="微软雅黑" w:hAnsi="微软雅黑" w:hint="eastAsia"/>
          <w:color w:val="666666"/>
        </w:rPr>
        <w:t> </w:t>
      </w:r>
      <w:r>
        <w:rPr>
          <w:rFonts w:ascii="仿宋" w:eastAsia="仿宋" w:hAnsi="仿宋" w:hint="eastAsia"/>
          <w:color w:val="666666"/>
        </w:rPr>
        <w:t>奖励工作采取适当形式公布评选对象的范围、数量、条件以及评审组织，采取自下而上的办法，层层遴选。</w:t>
      </w:r>
    </w:p>
    <w:p w14:paraId="789055A1"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第十二条</w:t>
      </w:r>
      <w:r>
        <w:rPr>
          <w:rStyle w:val="a4"/>
          <w:rFonts w:ascii="Calibri" w:eastAsia="仿宋" w:hAnsi="Calibri" w:cs="Calibri"/>
          <w:color w:val="666666"/>
        </w:rPr>
        <w:t> </w:t>
      </w:r>
      <w:r>
        <w:rPr>
          <w:rFonts w:ascii="仿宋" w:eastAsia="仿宋" w:hAnsi="仿宋" w:hint="eastAsia"/>
          <w:color w:val="666666"/>
        </w:rPr>
        <w:t>根据国家奖励条例限额授奖的精神，中国钢结构协会</w:t>
      </w:r>
      <w:proofErr w:type="gramStart"/>
      <w:r>
        <w:rPr>
          <w:rFonts w:ascii="仿宋" w:eastAsia="仿宋" w:hAnsi="仿宋" w:hint="eastAsia"/>
          <w:color w:val="666666"/>
        </w:rPr>
        <w:t>奖励总</w:t>
      </w:r>
      <w:proofErr w:type="gramEnd"/>
      <w:r>
        <w:rPr>
          <w:rFonts w:ascii="仿宋" w:eastAsia="仿宋" w:hAnsi="仿宋" w:hint="eastAsia"/>
          <w:color w:val="666666"/>
        </w:rPr>
        <w:t>获奖项目数为终评项目总数的</w:t>
      </w:r>
      <w:r>
        <w:rPr>
          <w:rFonts w:ascii="Calibri" w:eastAsia="仿宋" w:hAnsi="Calibri" w:cs="Calibri"/>
          <w:color w:val="666666"/>
        </w:rPr>
        <w:t> </w:t>
      </w:r>
      <w:r>
        <w:rPr>
          <w:rFonts w:ascii="仿宋" w:eastAsia="仿宋" w:hAnsi="仿宋" w:hint="eastAsia"/>
          <w:color w:val="666666"/>
        </w:rPr>
        <w:t>30% 左右, 其中，最高等级奖励不超过授奖总数的15%。</w:t>
      </w:r>
    </w:p>
    <w:p w14:paraId="5431F567"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hint="eastAsia"/>
          <w:color w:val="666666"/>
        </w:rPr>
      </w:pPr>
      <w:r>
        <w:rPr>
          <w:rStyle w:val="a4"/>
          <w:rFonts w:ascii="仿宋" w:eastAsia="仿宋" w:hAnsi="仿宋" w:hint="eastAsia"/>
          <w:color w:val="666666"/>
        </w:rPr>
        <w:t>第四章 撤销奖励</w:t>
      </w:r>
    </w:p>
    <w:p w14:paraId="1BA04A42"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第十三条</w:t>
      </w:r>
      <w:r>
        <w:rPr>
          <w:rFonts w:ascii="Calibri" w:eastAsia="仿宋" w:hAnsi="Calibri" w:cs="Calibri"/>
          <w:color w:val="666666"/>
        </w:rPr>
        <w:t> </w:t>
      </w:r>
      <w:r>
        <w:rPr>
          <w:rFonts w:ascii="仿宋" w:eastAsia="仿宋" w:hAnsi="仿宋" w:hint="eastAsia"/>
          <w:color w:val="666666"/>
        </w:rPr>
        <w:t>有下列情形之一的，撤销奖励：</w:t>
      </w:r>
    </w:p>
    <w:p w14:paraId="6F4D97A5"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（一）伪造申报材料或者隐瞒严重错误，骗取奖励的；</w:t>
      </w:r>
    </w:p>
    <w:p w14:paraId="0EBF94B3"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（二）严重违反奖励程序或者审批权限的；</w:t>
      </w:r>
    </w:p>
    <w:p w14:paraId="66B83EF6"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Fonts w:ascii="仿宋" w:eastAsia="仿宋" w:hAnsi="仿宋" w:hint="eastAsia"/>
          <w:color w:val="666666"/>
        </w:rPr>
        <w:t>（三）获得荣誉称号后，被开除、劳动教养、受刑事处罚或者有其他严重错误的。</w:t>
      </w:r>
    </w:p>
    <w:p w14:paraId="45545C74"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hint="eastAsia"/>
          <w:color w:val="666666"/>
        </w:rPr>
      </w:pPr>
      <w:r>
        <w:rPr>
          <w:rStyle w:val="a4"/>
          <w:rFonts w:ascii="仿宋" w:eastAsia="仿宋" w:hAnsi="仿宋" w:hint="eastAsia"/>
          <w:color w:val="666666"/>
        </w:rPr>
        <w:t>第五章 评选纪律和监督</w:t>
      </w:r>
    </w:p>
    <w:p w14:paraId="506B95FF"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第十四条</w:t>
      </w:r>
      <w:r>
        <w:rPr>
          <w:rFonts w:ascii="Calibri" w:eastAsia="仿宋" w:hAnsi="Calibri" w:cs="Calibri"/>
          <w:color w:val="666666"/>
        </w:rPr>
        <w:t> </w:t>
      </w:r>
      <w:r>
        <w:rPr>
          <w:rFonts w:ascii="仿宋" w:eastAsia="仿宋" w:hAnsi="仿宋" w:hint="eastAsia"/>
          <w:color w:val="666666"/>
        </w:rPr>
        <w:t>申报单位提交的材料必须实事求是，不得弄虚作假。评选结果公布后如发现实际情况与申报材料不符，将视情节轻重和影响程度，分别给予降低奖励等级、撤销奖励、通报批评和停止该单位两年申报资格的处理。</w:t>
      </w:r>
    </w:p>
    <w:p w14:paraId="4A6638E5"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第十五条</w:t>
      </w:r>
      <w:r>
        <w:rPr>
          <w:rFonts w:ascii="Calibri" w:eastAsia="仿宋" w:hAnsi="Calibri" w:cs="Calibri"/>
          <w:color w:val="666666"/>
        </w:rPr>
        <w:t> </w:t>
      </w:r>
      <w:r>
        <w:rPr>
          <w:rFonts w:ascii="仿宋" w:eastAsia="仿宋" w:hAnsi="仿宋" w:hint="eastAsia"/>
          <w:color w:val="666666"/>
        </w:rPr>
        <w:t>各推荐单位要严格按照协会奖励评选条件和标准，完成评审和推荐工作。对不严格把关的单位，将视情节轻重予以处罚，直至取消推荐资格。</w:t>
      </w:r>
    </w:p>
    <w:p w14:paraId="4EA17A30"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第十六条</w:t>
      </w:r>
      <w:r>
        <w:rPr>
          <w:rFonts w:ascii="Calibri" w:eastAsia="仿宋" w:hAnsi="Calibri" w:cs="Calibri"/>
          <w:color w:val="666666"/>
        </w:rPr>
        <w:t> </w:t>
      </w:r>
      <w:r>
        <w:rPr>
          <w:rFonts w:ascii="仿宋" w:eastAsia="仿宋" w:hAnsi="仿宋" w:hint="eastAsia"/>
          <w:color w:val="666666"/>
        </w:rPr>
        <w:t>评选专家要以严肃、认真和高度负责的态度进行评选工作。对违反评选纪律者，取消其评选专家资格。</w:t>
      </w:r>
    </w:p>
    <w:p w14:paraId="23D96AD7"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第十七条</w:t>
      </w:r>
      <w:r>
        <w:rPr>
          <w:rFonts w:ascii="Calibri" w:eastAsia="仿宋" w:hAnsi="Calibri" w:cs="Calibri"/>
          <w:color w:val="666666"/>
        </w:rPr>
        <w:t> </w:t>
      </w:r>
      <w:r>
        <w:rPr>
          <w:rFonts w:ascii="仿宋" w:eastAsia="仿宋" w:hAnsi="仿宋" w:hint="eastAsia"/>
          <w:color w:val="666666"/>
        </w:rPr>
        <w:t>参与组织行业奖励评选工作的协会工作人员，应严格执行有关自律规定，秉公办事，清正廉洁。对违反自律规定者，将依法依</w:t>
      </w:r>
      <w:proofErr w:type="gramStart"/>
      <w:r>
        <w:rPr>
          <w:rFonts w:ascii="仿宋" w:eastAsia="仿宋" w:hAnsi="仿宋" w:hint="eastAsia"/>
          <w:color w:val="666666"/>
        </w:rPr>
        <w:t>纪进行</w:t>
      </w:r>
      <w:proofErr w:type="gramEnd"/>
      <w:r>
        <w:rPr>
          <w:rFonts w:ascii="仿宋" w:eastAsia="仿宋" w:hAnsi="仿宋" w:hint="eastAsia"/>
          <w:color w:val="666666"/>
        </w:rPr>
        <w:t>处理。</w:t>
      </w:r>
    </w:p>
    <w:p w14:paraId="66E4870E"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hint="eastAsia"/>
          <w:color w:val="666666"/>
        </w:rPr>
      </w:pPr>
      <w:r>
        <w:rPr>
          <w:rStyle w:val="a4"/>
          <w:rFonts w:ascii="仿宋" w:eastAsia="仿宋" w:hAnsi="仿宋" w:hint="eastAsia"/>
          <w:color w:val="666666"/>
        </w:rPr>
        <w:t>第六章</w:t>
      </w:r>
      <w:r>
        <w:rPr>
          <w:rFonts w:ascii="微软雅黑" w:eastAsia="微软雅黑" w:hAnsi="微软雅黑" w:hint="eastAsia"/>
          <w:color w:val="666666"/>
        </w:rPr>
        <w:t> </w:t>
      </w:r>
      <w:r>
        <w:rPr>
          <w:rStyle w:val="a4"/>
          <w:rFonts w:ascii="仿宋" w:eastAsia="仿宋" w:hAnsi="仿宋" w:hint="eastAsia"/>
          <w:color w:val="666666"/>
        </w:rPr>
        <w:t>异议处理</w:t>
      </w:r>
    </w:p>
    <w:p w14:paraId="681E12D4"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第十八条</w:t>
      </w:r>
      <w:r>
        <w:rPr>
          <w:rFonts w:ascii="微软雅黑" w:eastAsia="微软雅黑" w:hAnsi="微软雅黑" w:hint="eastAsia"/>
          <w:color w:val="666666"/>
        </w:rPr>
        <w:t> </w:t>
      </w:r>
      <w:r>
        <w:rPr>
          <w:rFonts w:ascii="仿宋" w:eastAsia="仿宋" w:hAnsi="仿宋" w:hint="eastAsia"/>
          <w:color w:val="666666"/>
        </w:rPr>
        <w:t>协会科学技术奖励接受社会的监督，任何单位或者个人对协会科学技术奖励获奖人、获奖单位及其项目的创新性、先进性、实用性及推荐材料真实性等持有异议的，应当在获奖项目公示期内向协会秘书处科技事务部提出，逾期不予受理。</w:t>
      </w:r>
    </w:p>
    <w:p w14:paraId="64C53AB0"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lastRenderedPageBreak/>
        <w:t>第十九条</w:t>
      </w:r>
      <w:r>
        <w:rPr>
          <w:rFonts w:ascii="Calibri" w:eastAsia="仿宋" w:hAnsi="Calibri" w:cs="Calibri"/>
          <w:color w:val="666666"/>
        </w:rPr>
        <w:t> </w:t>
      </w:r>
      <w:r>
        <w:rPr>
          <w:rFonts w:ascii="仿宋" w:eastAsia="仿宋" w:hAnsi="仿宋" w:hint="eastAsia"/>
          <w:color w:val="666666"/>
        </w:rPr>
        <w:t>提出异议的单位或者个人应当提供书面异议材料，并提供必要的证明文件。提出异议的单位、个人应当表明真实身份。个人提出异议的，应当在书面异议材料上签署真实姓名；以单位名义提出异议的，应当加盖本单位公章。一般不受理以匿名方式提出的异议。</w:t>
      </w:r>
    </w:p>
    <w:p w14:paraId="7D694C73"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第二十条</w:t>
      </w:r>
      <w:r>
        <w:rPr>
          <w:rFonts w:ascii="Calibri" w:eastAsia="仿宋" w:hAnsi="Calibri" w:cs="Calibri"/>
          <w:color w:val="666666"/>
        </w:rPr>
        <w:t> </w:t>
      </w:r>
      <w:r>
        <w:rPr>
          <w:rFonts w:ascii="仿宋" w:eastAsia="仿宋" w:hAnsi="仿宋" w:hint="eastAsia"/>
          <w:color w:val="666666"/>
        </w:rPr>
        <w:t>协会秘书处科技事务部在接到异议材料后应当进行审查，对符合规定并能提供充分证据的异议，应予受理。</w:t>
      </w:r>
    </w:p>
    <w:p w14:paraId="4BA6C1CD"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第二十一条</w:t>
      </w:r>
      <w:r>
        <w:rPr>
          <w:rFonts w:ascii="微软雅黑" w:eastAsia="微软雅黑" w:hAnsi="微软雅黑" w:hint="eastAsia"/>
          <w:color w:val="666666"/>
        </w:rPr>
        <w:t> </w:t>
      </w:r>
      <w:r>
        <w:rPr>
          <w:rFonts w:ascii="仿宋" w:eastAsia="仿宋" w:hAnsi="仿宋" w:hint="eastAsia"/>
          <w:color w:val="666666"/>
        </w:rPr>
        <w:t>对有异议的项目，由协会秘书处科技事务部组织进行复审，并向评委会提交复审意见和补充说明材料，必要时可组织有关专家到现场核查。协会秘书处科技事务部应当将异议处理意见通知异议方和推荐单位、推荐人。</w:t>
      </w:r>
    </w:p>
    <w:p w14:paraId="5765B036" w14:textId="77777777" w:rsidR="007A269B" w:rsidRDefault="007A269B" w:rsidP="007A269B">
      <w:pPr>
        <w:pStyle w:val="a3"/>
        <w:shd w:val="clear" w:color="auto" w:fill="FFFFFF"/>
        <w:spacing w:before="0" w:beforeAutospacing="0" w:after="0" w:afterAutospacing="0" w:line="504" w:lineRule="atLeast"/>
        <w:jc w:val="center"/>
        <w:rPr>
          <w:rFonts w:ascii="微软雅黑" w:eastAsia="微软雅黑" w:hAnsi="微软雅黑" w:hint="eastAsia"/>
          <w:color w:val="666666"/>
        </w:rPr>
      </w:pPr>
      <w:r>
        <w:rPr>
          <w:rStyle w:val="a4"/>
          <w:rFonts w:ascii="仿宋" w:eastAsia="仿宋" w:hAnsi="仿宋" w:hint="eastAsia"/>
          <w:color w:val="666666"/>
        </w:rPr>
        <w:t>第七章 附则</w:t>
      </w:r>
    </w:p>
    <w:p w14:paraId="7325E02E"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第二十二条</w:t>
      </w:r>
      <w:r>
        <w:rPr>
          <w:rStyle w:val="a4"/>
          <w:rFonts w:ascii="Calibri" w:eastAsia="仿宋" w:hAnsi="Calibri" w:cs="Calibri"/>
          <w:color w:val="666666"/>
        </w:rPr>
        <w:t> </w:t>
      </w:r>
      <w:r>
        <w:rPr>
          <w:rFonts w:ascii="仿宋" w:eastAsia="仿宋" w:hAnsi="仿宋" w:hint="eastAsia"/>
          <w:color w:val="666666"/>
        </w:rPr>
        <w:t>奖励证书、奖励牌匾、奖章等，由协会统一印制。</w:t>
      </w:r>
    </w:p>
    <w:p w14:paraId="0F163961"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第二十三条</w:t>
      </w:r>
      <w:r>
        <w:rPr>
          <w:rStyle w:val="a4"/>
          <w:rFonts w:ascii="Calibri" w:eastAsia="仿宋" w:hAnsi="Calibri" w:cs="Calibri"/>
          <w:color w:val="666666"/>
        </w:rPr>
        <w:t> </w:t>
      </w:r>
      <w:r>
        <w:rPr>
          <w:rFonts w:ascii="仿宋" w:eastAsia="仿宋" w:hAnsi="仿宋" w:hint="eastAsia"/>
          <w:color w:val="666666"/>
        </w:rPr>
        <w:t>申报材料在评选结果发布后由协会保留一年，申报单位可以取回，逾期不再保留。</w:t>
      </w:r>
    </w:p>
    <w:p w14:paraId="62A3EAAB"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第二十四条</w:t>
      </w:r>
      <w:r>
        <w:rPr>
          <w:rStyle w:val="a4"/>
          <w:rFonts w:ascii="Calibri" w:eastAsia="仿宋" w:hAnsi="Calibri" w:cs="Calibri"/>
          <w:color w:val="666666"/>
        </w:rPr>
        <w:t> </w:t>
      </w:r>
      <w:r>
        <w:rPr>
          <w:rFonts w:ascii="仿宋" w:eastAsia="仿宋" w:hAnsi="仿宋" w:hint="eastAsia"/>
          <w:color w:val="666666"/>
        </w:rPr>
        <w:t>协会设置的各类奖项的评审工作经费由协会承担，不向申请单位或个人收取任何费用。</w:t>
      </w:r>
    </w:p>
    <w:p w14:paraId="456E974F"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第二十五条</w:t>
      </w:r>
      <w:r>
        <w:rPr>
          <w:rStyle w:val="a4"/>
          <w:rFonts w:ascii="Calibri" w:eastAsia="仿宋" w:hAnsi="Calibri" w:cs="Calibri"/>
          <w:color w:val="666666"/>
        </w:rPr>
        <w:t> </w:t>
      </w:r>
      <w:r>
        <w:rPr>
          <w:rFonts w:ascii="仿宋" w:eastAsia="仿宋" w:hAnsi="仿宋" w:hint="eastAsia"/>
          <w:color w:val="666666"/>
        </w:rPr>
        <w:t>本办法解释权属协会理事会，由协会秘书处负责具体解释。</w:t>
      </w:r>
    </w:p>
    <w:p w14:paraId="3EAF8ED6" w14:textId="77777777" w:rsidR="007A269B" w:rsidRDefault="007A269B" w:rsidP="007A269B">
      <w:pPr>
        <w:pStyle w:val="a3"/>
        <w:shd w:val="clear" w:color="auto" w:fill="FFFFFF"/>
        <w:spacing w:before="0" w:beforeAutospacing="0" w:after="0" w:afterAutospacing="0" w:line="504" w:lineRule="atLeast"/>
        <w:jc w:val="both"/>
        <w:rPr>
          <w:rFonts w:ascii="微软雅黑" w:eastAsia="微软雅黑" w:hAnsi="微软雅黑" w:hint="eastAsia"/>
          <w:color w:val="666666"/>
        </w:rPr>
      </w:pPr>
      <w:r>
        <w:rPr>
          <w:rStyle w:val="a4"/>
          <w:rFonts w:ascii="仿宋" w:eastAsia="仿宋" w:hAnsi="仿宋" w:hint="eastAsia"/>
          <w:color w:val="666666"/>
        </w:rPr>
        <w:t>第二十六条</w:t>
      </w:r>
      <w:r>
        <w:rPr>
          <w:rStyle w:val="a4"/>
          <w:rFonts w:ascii="Calibri" w:eastAsia="仿宋" w:hAnsi="Calibri" w:cs="Calibri"/>
          <w:color w:val="666666"/>
        </w:rPr>
        <w:t> </w:t>
      </w:r>
      <w:r>
        <w:rPr>
          <w:rFonts w:ascii="仿宋" w:eastAsia="仿宋" w:hAnsi="仿宋" w:hint="eastAsia"/>
          <w:color w:val="666666"/>
        </w:rPr>
        <w:t>本办法自发布之日起施行。</w:t>
      </w:r>
    </w:p>
    <w:p w14:paraId="46761FBF" w14:textId="77777777" w:rsidR="00784A82" w:rsidRPr="007A269B" w:rsidRDefault="00784A82"/>
    <w:sectPr w:rsidR="00784A82" w:rsidRPr="007A26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9B"/>
    <w:rsid w:val="00784A82"/>
    <w:rsid w:val="007A2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3556"/>
  <w15:chartTrackingRefBased/>
  <w15:docId w15:val="{581B245A-58B8-4B04-9811-3CD015E3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6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2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2022-05-20T03:00:00Z</dcterms:created>
  <dcterms:modified xsi:type="dcterms:W3CDTF">2022-05-20T03:02:00Z</dcterms:modified>
</cp:coreProperties>
</file>